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1D027E" w14:textId="77777777" w:rsidR="00171C04" w:rsidRPr="001E1601" w:rsidRDefault="006B4FB1">
      <w:pPr>
        <w:spacing w:before="360" w:after="120"/>
      </w:pPr>
      <w:r w:rsidRPr="001E1601">
        <w:rPr>
          <w:rStyle w:val="PleaseReviewParagraphId"/>
        </w:rPr>
        <w:t>[1]</w:t>
      </w:r>
      <w:r w:rsidRPr="001E1601">
        <w:rPr>
          <w:b/>
          <w:bCs/>
          <w:sz w:val="24"/>
        </w:rPr>
        <w:t xml:space="preserve">DRAFT ANNEX TO ISPM 27: </w:t>
      </w:r>
      <w:r w:rsidRPr="001E1601">
        <w:rPr>
          <w:b/>
          <w:bCs/>
          <w:i/>
          <w:iCs/>
          <w:sz w:val="24"/>
        </w:rPr>
        <w:t>Mononychellus tanajoa</w:t>
      </w:r>
      <w:r w:rsidRPr="001E1601">
        <w:rPr>
          <w:b/>
          <w:bCs/>
          <w:sz w:val="24"/>
        </w:rPr>
        <w:t xml:space="preserve"> (2018-006)</w:t>
      </w:r>
    </w:p>
    <w:tbl>
      <w:tblPr>
        <w:tblW w:w="8850" w:type="dxa"/>
        <w:tblInd w:w="59" w:type="dxa"/>
        <w:tblLayout w:type="fixed"/>
        <w:tblCellMar>
          <w:top w:w="30" w:type="dxa"/>
          <w:left w:w="30" w:type="dxa"/>
          <w:bottom w:w="30" w:type="dxa"/>
          <w:right w:w="30" w:type="dxa"/>
        </w:tblCellMar>
        <w:tblLook w:val="04A0" w:firstRow="1" w:lastRow="0" w:firstColumn="1" w:lastColumn="0" w:noHBand="0" w:noVBand="1"/>
      </w:tblPr>
      <w:tblGrid>
        <w:gridCol w:w="2624"/>
        <w:gridCol w:w="6226"/>
      </w:tblGrid>
      <w:tr w:rsidR="00171C04" w:rsidRPr="001E1601" w14:paraId="491D0280" w14:textId="77777777">
        <w:tc>
          <w:tcPr>
            <w:tcW w:w="8849" w:type="dxa"/>
            <w:gridSpan w:val="2"/>
            <w:tcBorders>
              <w:top w:val="outset" w:sz="6" w:space="0" w:color="00000A"/>
              <w:left w:val="outset" w:sz="6" w:space="0" w:color="00000A"/>
              <w:bottom w:val="outset" w:sz="6" w:space="0" w:color="00000A"/>
              <w:right w:val="outset" w:sz="6" w:space="0" w:color="00000A"/>
            </w:tcBorders>
          </w:tcPr>
          <w:p w14:paraId="491D027F" w14:textId="77777777" w:rsidR="00171C04" w:rsidRPr="001E1601" w:rsidRDefault="006B4FB1">
            <w:pPr>
              <w:pStyle w:val="IPPArialTable"/>
              <w:rPr>
                <w:b/>
                <w:bCs/>
              </w:rPr>
            </w:pPr>
            <w:r w:rsidRPr="001E1601">
              <w:rPr>
                <w:rStyle w:val="PleaseReviewParagraphId"/>
              </w:rPr>
              <w:t>[2]</w:t>
            </w:r>
            <w:r w:rsidRPr="001E1601">
              <w:rPr>
                <w:b/>
                <w:bCs/>
              </w:rPr>
              <w:t xml:space="preserve">Status box </w:t>
            </w:r>
          </w:p>
        </w:tc>
      </w:tr>
      <w:tr w:rsidR="00171C04" w:rsidRPr="001E1601" w14:paraId="491D0282" w14:textId="77777777">
        <w:tc>
          <w:tcPr>
            <w:tcW w:w="8849" w:type="dxa"/>
            <w:gridSpan w:val="2"/>
            <w:tcBorders>
              <w:top w:val="outset" w:sz="6" w:space="0" w:color="00000A"/>
              <w:left w:val="outset" w:sz="6" w:space="0" w:color="00000A"/>
              <w:bottom w:val="outset" w:sz="6" w:space="0" w:color="00000A"/>
              <w:right w:val="outset" w:sz="6" w:space="0" w:color="00000A"/>
            </w:tcBorders>
          </w:tcPr>
          <w:p w14:paraId="491D0281" w14:textId="77777777" w:rsidR="00171C04" w:rsidRPr="001E1601" w:rsidRDefault="006B4FB1">
            <w:pPr>
              <w:pStyle w:val="IPPArialTable"/>
            </w:pPr>
            <w:r w:rsidRPr="001E1601">
              <w:rPr>
                <w:rStyle w:val="PleaseReviewParagraphId"/>
              </w:rPr>
              <w:t>[3]</w:t>
            </w:r>
            <w:r w:rsidRPr="001E1601">
              <w:t xml:space="preserve">This is not an official part of the standard, and it will be modified by the IPPC Secretariat after adoption. </w:t>
            </w:r>
          </w:p>
        </w:tc>
      </w:tr>
      <w:tr w:rsidR="00171C04" w:rsidRPr="001E1601" w14:paraId="491D0285" w14:textId="77777777">
        <w:tc>
          <w:tcPr>
            <w:tcW w:w="2624" w:type="dxa"/>
            <w:tcBorders>
              <w:top w:val="outset" w:sz="6" w:space="0" w:color="00000A"/>
              <w:left w:val="outset" w:sz="6" w:space="0" w:color="00000A"/>
              <w:bottom w:val="outset" w:sz="6" w:space="0" w:color="00000A"/>
              <w:right w:val="outset" w:sz="6" w:space="0" w:color="00000A"/>
            </w:tcBorders>
          </w:tcPr>
          <w:p w14:paraId="491D0283" w14:textId="77777777" w:rsidR="00171C04" w:rsidRPr="001E1601" w:rsidRDefault="006B4FB1">
            <w:pPr>
              <w:pStyle w:val="IPPArialTable"/>
              <w:rPr>
                <w:b/>
                <w:bCs/>
              </w:rPr>
            </w:pPr>
            <w:r w:rsidRPr="001E1601">
              <w:rPr>
                <w:rStyle w:val="PleaseReviewParagraphId"/>
              </w:rPr>
              <w:t>[4]</w:t>
            </w:r>
            <w:r w:rsidRPr="001E1601">
              <w:rPr>
                <w:b/>
                <w:bCs/>
              </w:rPr>
              <w:t xml:space="preserve">Date of this document </w:t>
            </w:r>
          </w:p>
        </w:tc>
        <w:tc>
          <w:tcPr>
            <w:tcW w:w="6225" w:type="dxa"/>
            <w:tcBorders>
              <w:top w:val="outset" w:sz="6" w:space="0" w:color="00000A"/>
              <w:left w:val="outset" w:sz="6" w:space="0" w:color="00000A"/>
              <w:bottom w:val="outset" w:sz="6" w:space="0" w:color="00000A"/>
              <w:right w:val="outset" w:sz="6" w:space="0" w:color="00000A"/>
            </w:tcBorders>
          </w:tcPr>
          <w:p w14:paraId="491D0284" w14:textId="30B59913" w:rsidR="00171C04" w:rsidRPr="001E1601" w:rsidRDefault="006B4FB1" w:rsidP="007364FA">
            <w:pPr>
              <w:pStyle w:val="IPPArialTable"/>
            </w:pPr>
            <w:r w:rsidRPr="001E1601">
              <w:rPr>
                <w:rStyle w:val="PleaseReviewParagraphId"/>
              </w:rPr>
              <w:t>[5]</w:t>
            </w:r>
            <w:r w:rsidR="007364FA" w:rsidRPr="001E1601">
              <w:t>2023-0</w:t>
            </w:r>
            <w:r w:rsidR="006B7CDF" w:rsidRPr="001E1601">
              <w:t>5</w:t>
            </w:r>
            <w:r w:rsidR="007364FA" w:rsidRPr="001E1601">
              <w:t>-</w:t>
            </w:r>
            <w:r w:rsidR="008233FD">
              <w:t>05</w:t>
            </w:r>
          </w:p>
        </w:tc>
      </w:tr>
      <w:tr w:rsidR="00171C04" w:rsidRPr="001E1601" w14:paraId="491D0288" w14:textId="77777777">
        <w:tc>
          <w:tcPr>
            <w:tcW w:w="2624" w:type="dxa"/>
            <w:tcBorders>
              <w:top w:val="outset" w:sz="6" w:space="0" w:color="00000A"/>
              <w:left w:val="outset" w:sz="6" w:space="0" w:color="00000A"/>
              <w:bottom w:val="outset" w:sz="6" w:space="0" w:color="00000A"/>
              <w:right w:val="outset" w:sz="6" w:space="0" w:color="00000A"/>
            </w:tcBorders>
          </w:tcPr>
          <w:p w14:paraId="491D0286" w14:textId="77777777" w:rsidR="00171C04" w:rsidRPr="001E1601" w:rsidRDefault="006B4FB1">
            <w:pPr>
              <w:pStyle w:val="IPPArialTable"/>
              <w:rPr>
                <w:b/>
                <w:bCs/>
              </w:rPr>
            </w:pPr>
            <w:r w:rsidRPr="001E1601">
              <w:rPr>
                <w:rStyle w:val="PleaseReviewParagraphId"/>
              </w:rPr>
              <w:t>[6]</w:t>
            </w:r>
            <w:r w:rsidRPr="001E1601">
              <w:rPr>
                <w:b/>
                <w:bCs/>
              </w:rPr>
              <w:t xml:space="preserve">Document category </w:t>
            </w:r>
          </w:p>
        </w:tc>
        <w:tc>
          <w:tcPr>
            <w:tcW w:w="6225" w:type="dxa"/>
            <w:tcBorders>
              <w:top w:val="outset" w:sz="6" w:space="0" w:color="00000A"/>
              <w:left w:val="outset" w:sz="6" w:space="0" w:color="00000A"/>
              <w:bottom w:val="outset" w:sz="6" w:space="0" w:color="00000A"/>
              <w:right w:val="outset" w:sz="6" w:space="0" w:color="00000A"/>
            </w:tcBorders>
          </w:tcPr>
          <w:p w14:paraId="491D0287" w14:textId="77777777" w:rsidR="00171C04" w:rsidRPr="001E1601" w:rsidRDefault="006B4FB1">
            <w:pPr>
              <w:pStyle w:val="IPPArialTable"/>
            </w:pPr>
            <w:r w:rsidRPr="001E1601">
              <w:rPr>
                <w:rStyle w:val="PleaseReviewParagraphId"/>
              </w:rPr>
              <w:t>[7]</w:t>
            </w:r>
            <w:r w:rsidRPr="001E1601">
              <w:t>Draft annex to ISPM 27 (</w:t>
            </w:r>
            <w:r w:rsidRPr="001E1601">
              <w:rPr>
                <w:i/>
                <w:iCs/>
              </w:rPr>
              <w:t>Diagnostic protocols for regulated pests</w:t>
            </w:r>
            <w:r w:rsidRPr="001E1601">
              <w:t xml:space="preserve">) </w:t>
            </w:r>
          </w:p>
        </w:tc>
      </w:tr>
      <w:tr w:rsidR="00171C04" w:rsidRPr="001E1601" w14:paraId="491D028B" w14:textId="77777777">
        <w:tc>
          <w:tcPr>
            <w:tcW w:w="2624" w:type="dxa"/>
            <w:tcBorders>
              <w:top w:val="outset" w:sz="6" w:space="0" w:color="00000A"/>
              <w:left w:val="outset" w:sz="6" w:space="0" w:color="00000A"/>
              <w:bottom w:val="outset" w:sz="6" w:space="0" w:color="00000A"/>
              <w:right w:val="outset" w:sz="6" w:space="0" w:color="00000A"/>
            </w:tcBorders>
          </w:tcPr>
          <w:p w14:paraId="491D0289" w14:textId="77777777" w:rsidR="00171C04" w:rsidRPr="001E1601" w:rsidRDefault="006B4FB1">
            <w:pPr>
              <w:pStyle w:val="IPPArialTable"/>
              <w:rPr>
                <w:b/>
                <w:bCs/>
              </w:rPr>
            </w:pPr>
            <w:r w:rsidRPr="001E1601">
              <w:rPr>
                <w:rStyle w:val="PleaseReviewParagraphId"/>
              </w:rPr>
              <w:t>[8]</w:t>
            </w:r>
            <w:r w:rsidRPr="001E1601">
              <w:rPr>
                <w:b/>
                <w:bCs/>
              </w:rPr>
              <w:t xml:space="preserve">Current document stage </w:t>
            </w:r>
          </w:p>
        </w:tc>
        <w:tc>
          <w:tcPr>
            <w:tcW w:w="6225" w:type="dxa"/>
            <w:tcBorders>
              <w:top w:val="outset" w:sz="6" w:space="0" w:color="00000A"/>
              <w:left w:val="outset" w:sz="6" w:space="0" w:color="00000A"/>
              <w:bottom w:val="outset" w:sz="6" w:space="0" w:color="00000A"/>
              <w:right w:val="outset" w:sz="6" w:space="0" w:color="00000A"/>
            </w:tcBorders>
          </w:tcPr>
          <w:p w14:paraId="491D028A" w14:textId="50092C51" w:rsidR="00171C04" w:rsidRPr="001E1601" w:rsidRDefault="006B4FB1" w:rsidP="000F1866">
            <w:pPr>
              <w:pStyle w:val="IPPArialTable"/>
            </w:pPr>
            <w:r w:rsidRPr="001E1601">
              <w:rPr>
                <w:rStyle w:val="PleaseReviewParagraphId"/>
              </w:rPr>
              <w:t>[9]</w:t>
            </w:r>
            <w:r w:rsidRPr="001E1601">
              <w:rPr>
                <w:i/>
                <w:iCs/>
              </w:rPr>
              <w:t>To</w:t>
            </w:r>
            <w:r w:rsidRPr="001E1601">
              <w:t xml:space="preserve"> </w:t>
            </w:r>
            <w:r w:rsidR="006B7CDF" w:rsidRPr="001E1601">
              <w:t>Standards Committee</w:t>
            </w:r>
            <w:r w:rsidR="000F1866" w:rsidRPr="001E1601">
              <w:rPr>
                <w:rFonts w:cs="Arial"/>
                <w:szCs w:val="18"/>
                <w:shd w:val="clear" w:color="auto" w:fill="FFFFFF"/>
              </w:rPr>
              <w:t xml:space="preserve"> </w:t>
            </w:r>
            <w:r w:rsidR="006B7CDF" w:rsidRPr="001E1601">
              <w:rPr>
                <w:rFonts w:cs="Arial"/>
                <w:szCs w:val="18"/>
                <w:shd w:val="clear" w:color="auto" w:fill="FFFFFF"/>
              </w:rPr>
              <w:t>(</w:t>
            </w:r>
            <w:r w:rsidR="000F1866" w:rsidRPr="001E1601">
              <w:rPr>
                <w:rStyle w:val="normaltextrun"/>
                <w:rFonts w:cs="Arial"/>
                <w:szCs w:val="18"/>
                <w:shd w:val="clear" w:color="auto" w:fill="FFFFFF"/>
              </w:rPr>
              <w:t>SC</w:t>
            </w:r>
            <w:r w:rsidR="006B7CDF" w:rsidRPr="001E1601">
              <w:rPr>
                <w:rStyle w:val="normaltextrun"/>
                <w:rFonts w:cs="Arial"/>
                <w:szCs w:val="18"/>
                <w:shd w:val="clear" w:color="auto" w:fill="FFFFFF"/>
              </w:rPr>
              <w:t>)</w:t>
            </w:r>
            <w:r w:rsidR="000F1866" w:rsidRPr="001E1601">
              <w:rPr>
                <w:rStyle w:val="normaltextrun"/>
                <w:rFonts w:cs="Arial"/>
                <w:szCs w:val="18"/>
                <w:shd w:val="clear" w:color="auto" w:fill="FFFFFF"/>
              </w:rPr>
              <w:t xml:space="preserve"> for adoption </w:t>
            </w:r>
          </w:p>
        </w:tc>
      </w:tr>
      <w:tr w:rsidR="00171C04" w:rsidRPr="001E1601" w14:paraId="491D028E" w14:textId="77777777">
        <w:tc>
          <w:tcPr>
            <w:tcW w:w="2624" w:type="dxa"/>
            <w:tcBorders>
              <w:top w:val="outset" w:sz="6" w:space="0" w:color="00000A"/>
              <w:left w:val="outset" w:sz="6" w:space="0" w:color="00000A"/>
              <w:bottom w:val="outset" w:sz="6" w:space="0" w:color="00000A"/>
              <w:right w:val="outset" w:sz="6" w:space="0" w:color="00000A"/>
            </w:tcBorders>
          </w:tcPr>
          <w:p w14:paraId="491D028C" w14:textId="77777777" w:rsidR="00171C04" w:rsidRPr="001E1601" w:rsidRDefault="006B4FB1">
            <w:pPr>
              <w:pStyle w:val="IPPArialTable"/>
              <w:rPr>
                <w:b/>
                <w:bCs/>
              </w:rPr>
            </w:pPr>
            <w:r w:rsidRPr="001E1601">
              <w:rPr>
                <w:rStyle w:val="PleaseReviewParagraphId"/>
              </w:rPr>
              <w:t>[10]</w:t>
            </w:r>
            <w:r w:rsidRPr="001E1601">
              <w:rPr>
                <w:b/>
                <w:bCs/>
              </w:rPr>
              <w:t xml:space="preserve">Origin </w:t>
            </w:r>
          </w:p>
        </w:tc>
        <w:tc>
          <w:tcPr>
            <w:tcW w:w="6225" w:type="dxa"/>
            <w:tcBorders>
              <w:top w:val="outset" w:sz="6" w:space="0" w:color="00000A"/>
              <w:left w:val="outset" w:sz="6" w:space="0" w:color="00000A"/>
              <w:bottom w:val="outset" w:sz="6" w:space="0" w:color="00000A"/>
              <w:right w:val="outset" w:sz="6" w:space="0" w:color="00000A"/>
            </w:tcBorders>
          </w:tcPr>
          <w:p w14:paraId="491D028D" w14:textId="77777777" w:rsidR="00171C04" w:rsidRPr="001E1601" w:rsidRDefault="006B4FB1">
            <w:pPr>
              <w:pStyle w:val="IPPArialTable"/>
            </w:pPr>
            <w:r w:rsidRPr="001E1601">
              <w:rPr>
                <w:rStyle w:val="PleaseReviewParagraphId"/>
              </w:rPr>
              <w:t>[11]</w:t>
            </w:r>
            <w:r w:rsidRPr="001E1601">
              <w:t xml:space="preserve">Original subject: </w:t>
            </w:r>
            <w:r w:rsidRPr="001E1601">
              <w:rPr>
                <w:i/>
                <w:iCs/>
              </w:rPr>
              <w:t>Mononychellus tanajoa</w:t>
            </w:r>
            <w:r w:rsidRPr="001E1601">
              <w:t xml:space="preserve"> (2018-006)</w:t>
            </w:r>
          </w:p>
        </w:tc>
      </w:tr>
      <w:tr w:rsidR="00171C04" w:rsidRPr="001E1601" w14:paraId="491D0295" w14:textId="77777777">
        <w:tc>
          <w:tcPr>
            <w:tcW w:w="2624" w:type="dxa"/>
            <w:tcBorders>
              <w:top w:val="outset" w:sz="6" w:space="0" w:color="00000A"/>
              <w:left w:val="outset" w:sz="6" w:space="0" w:color="00000A"/>
              <w:bottom w:val="outset" w:sz="6" w:space="0" w:color="00000A"/>
              <w:right w:val="outset" w:sz="6" w:space="0" w:color="00000A"/>
            </w:tcBorders>
          </w:tcPr>
          <w:p w14:paraId="491D028F" w14:textId="77777777" w:rsidR="00171C04" w:rsidRPr="001E1601" w:rsidRDefault="006B4FB1">
            <w:pPr>
              <w:pStyle w:val="IPPArialTable"/>
              <w:rPr>
                <w:b/>
                <w:bCs/>
              </w:rPr>
            </w:pPr>
            <w:r w:rsidRPr="001E1601">
              <w:rPr>
                <w:rStyle w:val="PleaseReviewParagraphId"/>
              </w:rPr>
              <w:t>[12]</w:t>
            </w:r>
            <w:r w:rsidRPr="001E1601">
              <w:rPr>
                <w:b/>
                <w:bCs/>
              </w:rPr>
              <w:t xml:space="preserve">Major stages </w:t>
            </w:r>
          </w:p>
        </w:tc>
        <w:tc>
          <w:tcPr>
            <w:tcW w:w="6225" w:type="dxa"/>
            <w:tcBorders>
              <w:top w:val="outset" w:sz="6" w:space="0" w:color="00000A"/>
              <w:left w:val="outset" w:sz="6" w:space="0" w:color="00000A"/>
              <w:bottom w:val="outset" w:sz="6" w:space="0" w:color="00000A"/>
              <w:right w:val="outset" w:sz="6" w:space="0" w:color="00000A"/>
            </w:tcBorders>
          </w:tcPr>
          <w:p w14:paraId="491D0290" w14:textId="77777777" w:rsidR="00171C04" w:rsidRPr="001E1601" w:rsidRDefault="006B4FB1">
            <w:pPr>
              <w:pStyle w:val="IPPArialTable"/>
            </w:pPr>
            <w:r w:rsidRPr="001E1601">
              <w:rPr>
                <w:rStyle w:val="PleaseReviewParagraphId"/>
              </w:rPr>
              <w:t>[13]</w:t>
            </w:r>
            <w:r w:rsidRPr="001E1601">
              <w:t xml:space="preserve">2018-11 SC added subject </w:t>
            </w:r>
            <w:r w:rsidRPr="001E1601">
              <w:rPr>
                <w:i/>
                <w:iCs/>
              </w:rPr>
              <w:t>Mononychellus tanajoa</w:t>
            </w:r>
            <w:r w:rsidRPr="001E1601">
              <w:t xml:space="preserve"> (2018-006) to work programme, priority 1.</w:t>
            </w:r>
          </w:p>
          <w:p w14:paraId="491D0291" w14:textId="77777777" w:rsidR="00171C04" w:rsidRPr="001E1601" w:rsidRDefault="006B4FB1">
            <w:pPr>
              <w:pStyle w:val="IPPArialTable"/>
            </w:pPr>
            <w:r w:rsidRPr="001E1601">
              <w:rPr>
                <w:rStyle w:val="PleaseReviewParagraphId"/>
              </w:rPr>
              <w:t>[14]</w:t>
            </w:r>
            <w:r w:rsidRPr="001E1601">
              <w:t>2021-03 Expert consultation.</w:t>
            </w:r>
          </w:p>
          <w:p w14:paraId="491D0292" w14:textId="77777777" w:rsidR="00171C04" w:rsidRPr="001E1601" w:rsidRDefault="006B4FB1">
            <w:pPr>
              <w:pStyle w:val="IPPArialTable"/>
            </w:pPr>
            <w:r w:rsidRPr="001E1601">
              <w:rPr>
                <w:rStyle w:val="PleaseReviewParagraphId"/>
              </w:rPr>
              <w:t>[15]</w:t>
            </w:r>
            <w:r w:rsidRPr="001E1601">
              <w:t xml:space="preserve">2022-04 Technical Panel on Diagnostic Protocols (TPDP) recommended draft to SC to be approved for consultation. </w:t>
            </w:r>
          </w:p>
          <w:p w14:paraId="491D0293" w14:textId="31E57FFA" w:rsidR="00171C04" w:rsidRPr="001E1601" w:rsidRDefault="006B4FB1">
            <w:pPr>
              <w:pStyle w:val="IPPArialTable"/>
            </w:pPr>
            <w:r w:rsidRPr="001E1601">
              <w:rPr>
                <w:rStyle w:val="PleaseReviewParagraphId"/>
              </w:rPr>
              <w:t>[16]</w:t>
            </w:r>
          </w:p>
          <w:p w14:paraId="34E6E352" w14:textId="23A9F631" w:rsidR="00171C04" w:rsidRPr="001E1601" w:rsidRDefault="006B4FB1">
            <w:pPr>
              <w:pStyle w:val="IPPArialTable"/>
            </w:pPr>
            <w:r w:rsidRPr="001E1601">
              <w:rPr>
                <w:rStyle w:val="PleaseReviewParagraphId"/>
              </w:rPr>
              <w:t>[17]</w:t>
            </w:r>
            <w:r w:rsidRPr="001E1601">
              <w:t xml:space="preserve">2022-06 </w:t>
            </w:r>
            <w:r w:rsidR="006B7CDF" w:rsidRPr="001E1601">
              <w:t>SC approved d</w:t>
            </w:r>
            <w:r w:rsidRPr="001E1601">
              <w:t>raft DP for consultation.</w:t>
            </w:r>
          </w:p>
          <w:p w14:paraId="4BAFD570" w14:textId="155E9976" w:rsidR="000F1866" w:rsidRPr="001E1601" w:rsidRDefault="006B7CDF" w:rsidP="000F1866">
            <w:pPr>
              <w:pStyle w:val="paragraph"/>
              <w:spacing w:before="0" w:beforeAutospacing="0" w:after="0" w:afterAutospacing="0"/>
              <w:textAlignment w:val="baseline"/>
              <w:rPr>
                <w:rFonts w:ascii="Segoe UI" w:hAnsi="Segoe UI" w:cs="Segoe UI"/>
                <w:sz w:val="18"/>
                <w:szCs w:val="18"/>
              </w:rPr>
            </w:pPr>
            <w:r w:rsidRPr="001E1601">
              <w:rPr>
                <w:rStyle w:val="normaltextrun"/>
                <w:rFonts w:ascii="Arial" w:eastAsia="Times" w:hAnsi="Arial" w:cs="Arial"/>
                <w:sz w:val="18"/>
                <w:szCs w:val="18"/>
              </w:rPr>
              <w:t>20</w:t>
            </w:r>
            <w:r w:rsidR="000F1866" w:rsidRPr="001E1601">
              <w:rPr>
                <w:rStyle w:val="normaltextrun"/>
                <w:rFonts w:ascii="Arial" w:eastAsia="Times" w:hAnsi="Arial" w:cs="Arial"/>
                <w:sz w:val="18"/>
                <w:szCs w:val="18"/>
              </w:rPr>
              <w:t>22-07 Consultation.</w:t>
            </w:r>
            <w:r w:rsidR="000F1866" w:rsidRPr="001E1601">
              <w:rPr>
                <w:rStyle w:val="eop"/>
                <w:rFonts w:ascii="Arial" w:eastAsia="MS Mincho" w:hAnsi="Arial" w:cs="Arial"/>
                <w:sz w:val="18"/>
                <w:szCs w:val="18"/>
              </w:rPr>
              <w:t> </w:t>
            </w:r>
          </w:p>
          <w:p w14:paraId="28609344" w14:textId="0353A0E7" w:rsidR="000F1866" w:rsidRPr="001E1601" w:rsidRDefault="000F1866" w:rsidP="000F1866">
            <w:pPr>
              <w:pStyle w:val="paragraph"/>
              <w:spacing w:before="0" w:beforeAutospacing="0" w:after="0" w:afterAutospacing="0"/>
              <w:textAlignment w:val="baseline"/>
              <w:rPr>
                <w:rStyle w:val="normaltextrun"/>
                <w:rFonts w:ascii="Arial" w:eastAsia="Times" w:hAnsi="Arial" w:cs="Arial"/>
                <w:sz w:val="18"/>
                <w:szCs w:val="18"/>
              </w:rPr>
            </w:pPr>
            <w:r w:rsidRPr="001E1601">
              <w:rPr>
                <w:rStyle w:val="normaltextrun"/>
                <w:rFonts w:ascii="Arial" w:eastAsia="Times" w:hAnsi="Arial" w:cs="Arial"/>
                <w:sz w:val="18"/>
                <w:szCs w:val="18"/>
              </w:rPr>
              <w:t>2022-10 TPDP</w:t>
            </w:r>
            <w:r w:rsidR="007364FA" w:rsidRPr="001E1601">
              <w:rPr>
                <w:rStyle w:val="normaltextrun"/>
                <w:rFonts w:ascii="Arial" w:eastAsia="Times" w:hAnsi="Arial" w:cs="Arial"/>
                <w:sz w:val="18"/>
                <w:szCs w:val="18"/>
              </w:rPr>
              <w:t xml:space="preserve"> revised.</w:t>
            </w:r>
          </w:p>
          <w:p w14:paraId="3A506C39" w14:textId="31F6966D" w:rsidR="007364FA" w:rsidRPr="001E1601" w:rsidRDefault="007364FA" w:rsidP="000F1866">
            <w:pPr>
              <w:pStyle w:val="paragraph"/>
              <w:spacing w:before="0" w:beforeAutospacing="0" w:after="0" w:afterAutospacing="0"/>
              <w:textAlignment w:val="baseline"/>
              <w:rPr>
                <w:rStyle w:val="normaltextrun"/>
                <w:rFonts w:ascii="Arial" w:eastAsia="Times" w:hAnsi="Arial" w:cs="Arial"/>
                <w:sz w:val="18"/>
                <w:szCs w:val="18"/>
              </w:rPr>
            </w:pPr>
            <w:r w:rsidRPr="001E1601">
              <w:rPr>
                <w:rStyle w:val="normaltextrun"/>
                <w:rFonts w:ascii="Arial" w:eastAsia="Times" w:hAnsi="Arial" w:cs="Arial"/>
                <w:sz w:val="18"/>
                <w:szCs w:val="18"/>
              </w:rPr>
              <w:t>2023-02 DP drafting group revised.</w:t>
            </w:r>
          </w:p>
          <w:p w14:paraId="491D0294" w14:textId="5AE76A86" w:rsidR="001F1A53" w:rsidRPr="001E1601" w:rsidRDefault="001F1A53" w:rsidP="007364FA">
            <w:pPr>
              <w:pStyle w:val="paragraph"/>
              <w:spacing w:before="0" w:beforeAutospacing="0" w:after="0" w:afterAutospacing="0"/>
              <w:textAlignment w:val="baseline"/>
              <w:rPr>
                <w:rFonts w:ascii="Segoe UI" w:hAnsi="Segoe UI" w:cs="Segoe UI"/>
                <w:sz w:val="18"/>
                <w:szCs w:val="18"/>
              </w:rPr>
            </w:pPr>
            <w:r w:rsidRPr="001E1601">
              <w:rPr>
                <w:rStyle w:val="normaltextrun"/>
                <w:rFonts w:ascii="Arial" w:eastAsia="Times" w:hAnsi="Arial" w:cs="Arial"/>
                <w:sz w:val="18"/>
                <w:szCs w:val="18"/>
              </w:rPr>
              <w:t>2023</w:t>
            </w:r>
            <w:r w:rsidR="007364FA" w:rsidRPr="001E1601">
              <w:rPr>
                <w:rStyle w:val="normaltextrun"/>
                <w:rFonts w:ascii="Arial" w:eastAsia="Times" w:hAnsi="Arial" w:cs="Arial"/>
                <w:sz w:val="18"/>
                <w:szCs w:val="18"/>
              </w:rPr>
              <w:t xml:space="preserve">-03 TPDP </w:t>
            </w:r>
            <w:r w:rsidR="006B7CDF" w:rsidRPr="001E1601">
              <w:rPr>
                <w:rStyle w:val="normaltextrun"/>
                <w:rFonts w:ascii="Arial" w:eastAsia="Times" w:hAnsi="Arial" w:cs="Arial"/>
                <w:sz w:val="18"/>
                <w:szCs w:val="18"/>
              </w:rPr>
              <w:t xml:space="preserve">revised and </w:t>
            </w:r>
            <w:r w:rsidR="007364FA" w:rsidRPr="001E1601">
              <w:rPr>
                <w:rStyle w:val="normaltextrun"/>
                <w:rFonts w:ascii="Arial" w:eastAsia="Times" w:hAnsi="Arial" w:cs="Arial"/>
                <w:sz w:val="18"/>
                <w:szCs w:val="18"/>
              </w:rPr>
              <w:t>recommend</w:t>
            </w:r>
            <w:r w:rsidR="006B7CDF" w:rsidRPr="001E1601">
              <w:rPr>
                <w:rStyle w:val="normaltextrun"/>
                <w:rFonts w:ascii="Arial" w:eastAsia="Times" w:hAnsi="Arial" w:cs="Arial"/>
                <w:sz w:val="18"/>
                <w:szCs w:val="18"/>
              </w:rPr>
              <w:t>ed</w:t>
            </w:r>
            <w:r w:rsidR="007364FA" w:rsidRPr="001E1601">
              <w:rPr>
                <w:rStyle w:val="normaltextrun"/>
                <w:rFonts w:ascii="Arial" w:eastAsia="Times" w:hAnsi="Arial" w:cs="Arial"/>
                <w:sz w:val="18"/>
                <w:szCs w:val="18"/>
              </w:rPr>
              <w:t xml:space="preserve"> </w:t>
            </w:r>
            <w:r w:rsidR="006B7CDF" w:rsidRPr="001E1601">
              <w:rPr>
                <w:rStyle w:val="normaltextrun"/>
                <w:rFonts w:ascii="Arial" w:eastAsia="Times" w:hAnsi="Arial" w:cs="Arial"/>
                <w:sz w:val="18"/>
                <w:szCs w:val="18"/>
              </w:rPr>
              <w:t xml:space="preserve">to SC </w:t>
            </w:r>
            <w:r w:rsidR="007364FA" w:rsidRPr="001E1601">
              <w:rPr>
                <w:rStyle w:val="normaltextrun"/>
                <w:rFonts w:ascii="Arial" w:eastAsia="Times" w:hAnsi="Arial" w:cs="Arial"/>
                <w:sz w:val="18"/>
                <w:szCs w:val="18"/>
              </w:rPr>
              <w:t>for adoption.</w:t>
            </w:r>
          </w:p>
        </w:tc>
      </w:tr>
      <w:tr w:rsidR="00171C04" w:rsidRPr="001E1601" w14:paraId="491D0298" w14:textId="77777777">
        <w:tc>
          <w:tcPr>
            <w:tcW w:w="2624" w:type="dxa"/>
            <w:tcBorders>
              <w:top w:val="outset" w:sz="6" w:space="0" w:color="00000A"/>
              <w:left w:val="outset" w:sz="6" w:space="0" w:color="00000A"/>
              <w:bottom w:val="outset" w:sz="6" w:space="0" w:color="00000A"/>
              <w:right w:val="outset" w:sz="6" w:space="0" w:color="00000A"/>
            </w:tcBorders>
          </w:tcPr>
          <w:p w14:paraId="491D0296" w14:textId="77777777" w:rsidR="00171C04" w:rsidRPr="001E1601" w:rsidRDefault="006B4FB1">
            <w:pPr>
              <w:pStyle w:val="IPPArialTable"/>
              <w:rPr>
                <w:b/>
                <w:bCs/>
              </w:rPr>
            </w:pPr>
            <w:r w:rsidRPr="001E1601">
              <w:rPr>
                <w:rStyle w:val="PleaseReviewParagraphId"/>
              </w:rPr>
              <w:t>[18]</w:t>
            </w:r>
            <w:r w:rsidRPr="001E1601">
              <w:rPr>
                <w:b/>
                <w:bCs/>
              </w:rPr>
              <w:t xml:space="preserve">Discipline leads history </w:t>
            </w:r>
          </w:p>
        </w:tc>
        <w:tc>
          <w:tcPr>
            <w:tcW w:w="6225" w:type="dxa"/>
            <w:tcBorders>
              <w:top w:val="outset" w:sz="6" w:space="0" w:color="00000A"/>
              <w:left w:val="outset" w:sz="6" w:space="0" w:color="00000A"/>
              <w:bottom w:val="outset" w:sz="6" w:space="0" w:color="00000A"/>
              <w:right w:val="outset" w:sz="6" w:space="0" w:color="00000A"/>
            </w:tcBorders>
          </w:tcPr>
          <w:p w14:paraId="491D0297" w14:textId="77777777" w:rsidR="00171C04" w:rsidRPr="001E1601" w:rsidRDefault="006B4FB1">
            <w:pPr>
              <w:pStyle w:val="IPPArialTable"/>
            </w:pPr>
            <w:r w:rsidRPr="001E1601">
              <w:rPr>
                <w:rStyle w:val="PleaseReviewParagraphId"/>
              </w:rPr>
              <w:t>[19]</w:t>
            </w:r>
            <w:r w:rsidRPr="001E1601">
              <w:t>2019-08 Juliet GOLDSMITH (JM)</w:t>
            </w:r>
          </w:p>
        </w:tc>
      </w:tr>
      <w:tr w:rsidR="00171C04" w:rsidRPr="001E1601" w14:paraId="491D029B" w14:textId="77777777">
        <w:tc>
          <w:tcPr>
            <w:tcW w:w="2624" w:type="dxa"/>
            <w:tcBorders>
              <w:top w:val="outset" w:sz="6" w:space="0" w:color="00000A"/>
              <w:left w:val="outset" w:sz="6" w:space="0" w:color="00000A"/>
              <w:bottom w:val="outset" w:sz="6" w:space="0" w:color="00000A"/>
              <w:right w:val="outset" w:sz="6" w:space="0" w:color="00000A"/>
            </w:tcBorders>
          </w:tcPr>
          <w:p w14:paraId="491D0299" w14:textId="77777777" w:rsidR="00171C04" w:rsidRPr="001E1601" w:rsidRDefault="006B4FB1">
            <w:pPr>
              <w:pStyle w:val="IPPArialTable"/>
              <w:rPr>
                <w:b/>
                <w:bCs/>
              </w:rPr>
            </w:pPr>
            <w:r w:rsidRPr="001E1601">
              <w:rPr>
                <w:rStyle w:val="PleaseReviewParagraphId"/>
              </w:rPr>
              <w:t>[20]</w:t>
            </w:r>
            <w:r w:rsidRPr="001E1601">
              <w:rPr>
                <w:b/>
                <w:bCs/>
              </w:rPr>
              <w:t>Referee</w:t>
            </w:r>
          </w:p>
        </w:tc>
        <w:tc>
          <w:tcPr>
            <w:tcW w:w="6225" w:type="dxa"/>
            <w:tcBorders>
              <w:top w:val="outset" w:sz="6" w:space="0" w:color="00000A"/>
              <w:left w:val="outset" w:sz="6" w:space="0" w:color="00000A"/>
              <w:bottom w:val="outset" w:sz="6" w:space="0" w:color="00000A"/>
              <w:right w:val="outset" w:sz="6" w:space="0" w:color="00000A"/>
            </w:tcBorders>
          </w:tcPr>
          <w:p w14:paraId="491D029A" w14:textId="77777777" w:rsidR="00171C04" w:rsidRPr="001E1601" w:rsidRDefault="006B4FB1">
            <w:pPr>
              <w:pStyle w:val="IPPArialTable"/>
            </w:pPr>
            <w:r w:rsidRPr="001E1601">
              <w:rPr>
                <w:rStyle w:val="PleaseReviewParagraphId"/>
              </w:rPr>
              <w:t>[21]</w:t>
            </w:r>
            <w:r w:rsidRPr="001E1601">
              <w:t>2019-08 Norman BARR (US)</w:t>
            </w:r>
          </w:p>
        </w:tc>
      </w:tr>
      <w:tr w:rsidR="00171C04" w:rsidRPr="001E1601" w14:paraId="491D02A2" w14:textId="77777777">
        <w:tc>
          <w:tcPr>
            <w:tcW w:w="2624" w:type="dxa"/>
            <w:tcBorders>
              <w:top w:val="outset" w:sz="6" w:space="0" w:color="00000A"/>
              <w:left w:val="outset" w:sz="6" w:space="0" w:color="00000A"/>
              <w:bottom w:val="outset" w:sz="6" w:space="0" w:color="00000A"/>
              <w:right w:val="outset" w:sz="6" w:space="0" w:color="00000A"/>
            </w:tcBorders>
          </w:tcPr>
          <w:p w14:paraId="491D029C" w14:textId="7D15722C" w:rsidR="00171C04" w:rsidRPr="001E1601" w:rsidRDefault="006B4FB1">
            <w:pPr>
              <w:pStyle w:val="IPPArialTable"/>
              <w:rPr>
                <w:b/>
                <w:bCs/>
              </w:rPr>
            </w:pPr>
            <w:r w:rsidRPr="001E1601">
              <w:rPr>
                <w:rStyle w:val="PleaseReviewParagraphId"/>
              </w:rPr>
              <w:t>[22]</w:t>
            </w:r>
            <w:r w:rsidRPr="001E1601">
              <w:rPr>
                <w:b/>
                <w:bCs/>
              </w:rPr>
              <w:t xml:space="preserve">Consultation on </w:t>
            </w:r>
            <w:r w:rsidR="006859D4" w:rsidRPr="001E1601">
              <w:rPr>
                <w:b/>
                <w:bCs/>
              </w:rPr>
              <w:t>technical</w:t>
            </w:r>
            <w:r w:rsidRPr="001E1601">
              <w:rPr>
                <w:b/>
                <w:bCs/>
              </w:rPr>
              <w:t xml:space="preserve"> level </w:t>
            </w:r>
          </w:p>
        </w:tc>
        <w:tc>
          <w:tcPr>
            <w:tcW w:w="6225" w:type="dxa"/>
            <w:tcBorders>
              <w:top w:val="outset" w:sz="6" w:space="0" w:color="00000A"/>
              <w:left w:val="outset" w:sz="6" w:space="0" w:color="00000A"/>
              <w:bottom w:val="outset" w:sz="6" w:space="0" w:color="00000A"/>
              <w:right w:val="outset" w:sz="6" w:space="0" w:color="00000A"/>
            </w:tcBorders>
          </w:tcPr>
          <w:p w14:paraId="491D029D" w14:textId="77777777" w:rsidR="00171C04" w:rsidRPr="001E1601" w:rsidRDefault="006B4FB1">
            <w:pPr>
              <w:pStyle w:val="IPPArialTable"/>
            </w:pPr>
            <w:r w:rsidRPr="001E1601">
              <w:rPr>
                <w:rStyle w:val="PleaseReviewParagraphId"/>
              </w:rPr>
              <w:t>[23]</w:t>
            </w:r>
            <w:r w:rsidRPr="001E1601">
              <w:t>The first draft of this protocol was written by:</w:t>
            </w:r>
          </w:p>
          <w:p w14:paraId="491D029E" w14:textId="77777777" w:rsidR="00171C04" w:rsidRPr="001E1601" w:rsidRDefault="006B4FB1">
            <w:pPr>
              <w:pStyle w:val="IPPArialTable"/>
            </w:pPr>
            <w:r w:rsidRPr="001E1601">
              <w:rPr>
                <w:rStyle w:val="PleaseReviewParagraphId"/>
              </w:rPr>
              <w:t>[24]</w:t>
            </w:r>
            <w:r w:rsidRPr="001E1601">
              <w:t>Qing Hai FAN (NZ, Lead author)</w:t>
            </w:r>
          </w:p>
          <w:p w14:paraId="491D029F" w14:textId="77777777" w:rsidR="00171C04" w:rsidRPr="001E1601" w:rsidRDefault="006B4FB1">
            <w:pPr>
              <w:pStyle w:val="IPPArialTable"/>
            </w:pPr>
            <w:r w:rsidRPr="001E1601">
              <w:rPr>
                <w:rStyle w:val="PleaseReviewParagraphId"/>
              </w:rPr>
              <w:t>[25]</w:t>
            </w:r>
            <w:r w:rsidRPr="001E1601">
              <w:t>Denise NAVIA (BR, Co-author)</w:t>
            </w:r>
          </w:p>
          <w:p w14:paraId="491D02A0" w14:textId="77777777" w:rsidR="00171C04" w:rsidRPr="001E1601" w:rsidRDefault="006B4FB1">
            <w:pPr>
              <w:pStyle w:val="IPPArialTable"/>
            </w:pPr>
            <w:r w:rsidRPr="001E1601">
              <w:rPr>
                <w:rStyle w:val="PleaseReviewParagraphId"/>
              </w:rPr>
              <w:t>[26]</w:t>
            </w:r>
            <w:r w:rsidRPr="001E1601">
              <w:t>Rachid HANNA (US, Co-author)</w:t>
            </w:r>
          </w:p>
          <w:p w14:paraId="3F8BFDAD" w14:textId="4B510D0A" w:rsidR="00C62DED" w:rsidRPr="00C62DED" w:rsidRDefault="006B4FB1" w:rsidP="00C62DED">
            <w:pPr>
              <w:pStyle w:val="IPPArialTable"/>
            </w:pPr>
            <w:r w:rsidRPr="001E1601">
              <w:rPr>
                <w:rStyle w:val="PleaseReviewParagraphId"/>
              </w:rPr>
              <w:t>[27]</w:t>
            </w:r>
            <w:r w:rsidRPr="001E1601">
              <w:t>In addition, the draft has also been subject to expert review and the following international experts submitted co</w:t>
            </w:r>
            <w:r w:rsidR="00AC0858" w:rsidRPr="001E1601">
              <w:t>mments: Frederic Beaulieu (CA),</w:t>
            </w:r>
            <w:r w:rsidR="006312C1" w:rsidRPr="001E1601">
              <w:t xml:space="preserve"> Jurgen Otto</w:t>
            </w:r>
            <w:r w:rsidRPr="001E1601">
              <w:t xml:space="preserve"> (AU)</w:t>
            </w:r>
            <w:r w:rsidR="00C62DED">
              <w:t xml:space="preserve"> </w:t>
            </w:r>
            <w:r w:rsidR="00C62DED" w:rsidRPr="00C62DED">
              <w:t xml:space="preserve">, Hasan Rahmani (AgriBio, the Centre for AgriBioscience, Australia) and Karen Mclachlan-Hamilton (entomology–diagnostic biologist, Canada). </w:t>
            </w:r>
          </w:p>
          <w:p w14:paraId="491D02A1" w14:textId="08E5AB7F" w:rsidR="00171C04" w:rsidRPr="001E1601" w:rsidRDefault="00171C04">
            <w:pPr>
              <w:pStyle w:val="IPPArialTable"/>
            </w:pPr>
          </w:p>
        </w:tc>
      </w:tr>
      <w:tr w:rsidR="00171C04" w:rsidRPr="001E1601" w14:paraId="491D02A5" w14:textId="77777777">
        <w:tc>
          <w:tcPr>
            <w:tcW w:w="2624" w:type="dxa"/>
            <w:tcBorders>
              <w:top w:val="outset" w:sz="6" w:space="0" w:color="00000A"/>
              <w:left w:val="outset" w:sz="6" w:space="0" w:color="00000A"/>
              <w:bottom w:val="outset" w:sz="6" w:space="0" w:color="00000A"/>
              <w:right w:val="outset" w:sz="6" w:space="0" w:color="00000A"/>
            </w:tcBorders>
          </w:tcPr>
          <w:p w14:paraId="491D02A3" w14:textId="77777777" w:rsidR="00171C04" w:rsidRPr="001E1601" w:rsidRDefault="006B4FB1">
            <w:pPr>
              <w:pStyle w:val="IPPArialTable"/>
              <w:rPr>
                <w:b/>
                <w:bCs/>
              </w:rPr>
            </w:pPr>
            <w:r w:rsidRPr="001E1601">
              <w:rPr>
                <w:rStyle w:val="PleaseReviewParagraphId"/>
              </w:rPr>
              <w:t>[28]</w:t>
            </w:r>
            <w:r w:rsidRPr="001E1601">
              <w:rPr>
                <w:b/>
                <w:bCs/>
              </w:rPr>
              <w:t xml:space="preserve">Main discussion points during the development of the diagnostic protocol </w:t>
            </w:r>
          </w:p>
        </w:tc>
        <w:tc>
          <w:tcPr>
            <w:tcW w:w="6225" w:type="dxa"/>
            <w:tcBorders>
              <w:top w:val="outset" w:sz="6" w:space="0" w:color="00000A"/>
              <w:left w:val="outset" w:sz="6" w:space="0" w:color="00000A"/>
              <w:bottom w:val="outset" w:sz="6" w:space="0" w:color="00000A"/>
              <w:right w:val="outset" w:sz="6" w:space="0" w:color="00000A"/>
            </w:tcBorders>
          </w:tcPr>
          <w:p w14:paraId="491D02A4" w14:textId="77777777" w:rsidR="00171C04" w:rsidRPr="001E1601" w:rsidRDefault="006B4FB1">
            <w:pPr>
              <w:pStyle w:val="IPPArialTable"/>
            </w:pPr>
            <w:r w:rsidRPr="001E1601">
              <w:rPr>
                <w:rStyle w:val="PleaseReviewParagraphId"/>
              </w:rPr>
              <w:t>[29]</w:t>
            </w:r>
          </w:p>
        </w:tc>
      </w:tr>
      <w:tr w:rsidR="00171C04" w:rsidRPr="001E1601" w14:paraId="491D02A9" w14:textId="77777777">
        <w:trPr>
          <w:trHeight w:val="290"/>
        </w:trPr>
        <w:tc>
          <w:tcPr>
            <w:tcW w:w="2624" w:type="dxa"/>
            <w:tcBorders>
              <w:top w:val="outset" w:sz="6" w:space="0" w:color="00000A"/>
              <w:left w:val="outset" w:sz="6" w:space="0" w:color="00000A"/>
              <w:bottom w:val="outset" w:sz="6" w:space="0" w:color="00000A"/>
              <w:right w:val="outset" w:sz="6" w:space="0" w:color="00000A"/>
            </w:tcBorders>
          </w:tcPr>
          <w:p w14:paraId="491D02A6" w14:textId="77777777" w:rsidR="00171C04" w:rsidRPr="001E1601" w:rsidRDefault="006B4FB1">
            <w:pPr>
              <w:pStyle w:val="IPPArialTable"/>
              <w:rPr>
                <w:b/>
                <w:bCs/>
              </w:rPr>
            </w:pPr>
            <w:r w:rsidRPr="001E1601">
              <w:rPr>
                <w:rStyle w:val="PleaseReviewParagraphId"/>
              </w:rPr>
              <w:t>[30]</w:t>
            </w:r>
            <w:r w:rsidRPr="001E1601">
              <w:rPr>
                <w:b/>
                <w:bCs/>
              </w:rPr>
              <w:t xml:space="preserve">Notes </w:t>
            </w:r>
          </w:p>
        </w:tc>
        <w:tc>
          <w:tcPr>
            <w:tcW w:w="6225" w:type="dxa"/>
            <w:tcBorders>
              <w:top w:val="outset" w:sz="6" w:space="0" w:color="00000A"/>
              <w:left w:val="outset" w:sz="6" w:space="0" w:color="00000A"/>
              <w:bottom w:val="outset" w:sz="6" w:space="0" w:color="00000A"/>
              <w:right w:val="outset" w:sz="6" w:space="0" w:color="00000A"/>
            </w:tcBorders>
          </w:tcPr>
          <w:p w14:paraId="491D02A7" w14:textId="77777777" w:rsidR="00171C04" w:rsidRPr="001E1601" w:rsidRDefault="006B4FB1">
            <w:pPr>
              <w:pStyle w:val="IPPArialTable"/>
            </w:pPr>
            <w:r w:rsidRPr="001E1601">
              <w:rPr>
                <w:rStyle w:val="PleaseReviewParagraphId"/>
              </w:rPr>
              <w:t>[31]</w:t>
            </w:r>
            <w:r w:rsidRPr="001E1601">
              <w:t>This is a draft document</w:t>
            </w:r>
          </w:p>
          <w:p w14:paraId="79D9BEF8" w14:textId="77777777" w:rsidR="00171C04" w:rsidRPr="001E1601" w:rsidRDefault="006B4FB1">
            <w:pPr>
              <w:pStyle w:val="IPPArialTable"/>
            </w:pPr>
            <w:r w:rsidRPr="001E1601">
              <w:rPr>
                <w:rStyle w:val="PleaseReviewParagraphId"/>
              </w:rPr>
              <w:t>[32]</w:t>
            </w:r>
            <w:r w:rsidRPr="001E1601">
              <w:t>2022-05 Edited</w:t>
            </w:r>
          </w:p>
          <w:p w14:paraId="491D02A8" w14:textId="1712DADF" w:rsidR="006B7CDF" w:rsidRPr="001E1601" w:rsidRDefault="006B7CDF">
            <w:pPr>
              <w:pStyle w:val="IPPArialTable"/>
            </w:pPr>
            <w:r w:rsidRPr="001E1601">
              <w:t>2023-05 Edited</w:t>
            </w:r>
          </w:p>
        </w:tc>
      </w:tr>
    </w:tbl>
    <w:p w14:paraId="491D02AA" w14:textId="77777777" w:rsidR="00171C04" w:rsidRPr="001E1601" w:rsidRDefault="006B4FB1">
      <w:pPr>
        <w:pStyle w:val="IPPContentsHead"/>
        <w:spacing w:before="240"/>
      </w:pPr>
      <w:r w:rsidRPr="001E1601">
        <w:rPr>
          <w:rStyle w:val="PleaseReviewParagraphId"/>
          <w:b w:val="0"/>
        </w:rPr>
        <w:t>[33]</w:t>
      </w:r>
      <w:r w:rsidRPr="001E1601">
        <w:t>CONTENTS</w:t>
      </w:r>
    </w:p>
    <w:p w14:paraId="491D02AB" w14:textId="77777777" w:rsidR="00171C04" w:rsidRPr="001E1601" w:rsidRDefault="006B4FB1" w:rsidP="00552071">
      <w:pPr>
        <w:pStyle w:val="IPPParagraphnumbering"/>
        <w:tabs>
          <w:tab w:val="clear" w:pos="0"/>
        </w:tabs>
        <w:ind w:firstLine="0"/>
        <w:rPr>
          <w:lang w:val="en-GB"/>
        </w:rPr>
      </w:pPr>
      <w:r w:rsidRPr="001E1601">
        <w:rPr>
          <w:rStyle w:val="PleaseReviewParagraphId"/>
          <w:lang w:val="en-GB"/>
        </w:rPr>
        <w:t>[34]</w:t>
      </w:r>
      <w:r w:rsidRPr="001E1601">
        <w:rPr>
          <w:lang w:val="en-GB"/>
        </w:rPr>
        <w:t>[to be added later]</w:t>
      </w:r>
    </w:p>
    <w:p w14:paraId="491D02AC" w14:textId="77777777" w:rsidR="00171C04" w:rsidRPr="001E1601" w:rsidRDefault="006B4FB1" w:rsidP="00552071">
      <w:pPr>
        <w:pStyle w:val="IPPParagraphnumbering"/>
        <w:tabs>
          <w:tab w:val="clear" w:pos="0"/>
        </w:tabs>
        <w:ind w:firstLine="0"/>
        <w:rPr>
          <w:b/>
          <w:bCs/>
          <w:lang w:val="en-GB"/>
        </w:rPr>
      </w:pPr>
      <w:r w:rsidRPr="001E1601">
        <w:rPr>
          <w:rStyle w:val="PleaseReviewParagraphId"/>
          <w:lang w:val="en-GB"/>
        </w:rPr>
        <w:t>[35]</w:t>
      </w:r>
      <w:r w:rsidRPr="001E1601">
        <w:rPr>
          <w:b/>
          <w:bCs/>
          <w:lang w:val="en-GB"/>
        </w:rPr>
        <w:t>Adoption</w:t>
      </w:r>
    </w:p>
    <w:p w14:paraId="491D02AD" w14:textId="77777777" w:rsidR="00171C04" w:rsidRPr="001E1601" w:rsidRDefault="006B4FB1" w:rsidP="00552071">
      <w:pPr>
        <w:pStyle w:val="IPPParagraphnumbering"/>
        <w:tabs>
          <w:tab w:val="clear" w:pos="0"/>
        </w:tabs>
        <w:ind w:firstLine="0"/>
        <w:rPr>
          <w:lang w:val="en-GB"/>
        </w:rPr>
      </w:pPr>
      <w:r w:rsidRPr="001E1601">
        <w:rPr>
          <w:rStyle w:val="PleaseReviewParagraphId"/>
          <w:lang w:val="en-GB"/>
        </w:rPr>
        <w:t>[36]</w:t>
      </w:r>
      <w:r w:rsidRPr="001E1601">
        <w:rPr>
          <w:lang w:val="en-GB"/>
        </w:rPr>
        <w:t>This diagnostic protocol was adopted by the Standards Committee on behalf of the Commission on Phytosanitary Measures in [Month 20--]. [to be completed after adoption]</w:t>
      </w:r>
    </w:p>
    <w:p w14:paraId="491D02AE" w14:textId="77777777" w:rsidR="00171C04" w:rsidRPr="001E1601" w:rsidRDefault="006B4FB1" w:rsidP="00552071">
      <w:pPr>
        <w:pStyle w:val="IPPParagraphnumbering"/>
        <w:tabs>
          <w:tab w:val="clear" w:pos="0"/>
        </w:tabs>
        <w:ind w:firstLine="0"/>
        <w:rPr>
          <w:lang w:val="en-GB"/>
        </w:rPr>
      </w:pPr>
      <w:r w:rsidRPr="001E1601">
        <w:rPr>
          <w:rStyle w:val="PleaseReviewParagraphId"/>
          <w:lang w:val="en-GB"/>
        </w:rPr>
        <w:t>[37]</w:t>
      </w:r>
      <w:r w:rsidRPr="001E1601">
        <w:rPr>
          <w:lang w:val="en-GB"/>
        </w:rPr>
        <w:t>The annex is a prescriptive part of ISPM 27 (</w:t>
      </w:r>
      <w:r w:rsidRPr="001E1601">
        <w:rPr>
          <w:i/>
          <w:lang w:val="en-GB"/>
        </w:rPr>
        <w:t>Diagnostic protocols for regulated pests</w:t>
      </w:r>
      <w:r w:rsidRPr="001E1601">
        <w:rPr>
          <w:lang w:val="en-GB"/>
        </w:rPr>
        <w:t>).</w:t>
      </w:r>
    </w:p>
    <w:p w14:paraId="491D02AF" w14:textId="4353A683" w:rsidR="00171C04" w:rsidRPr="001E1601" w:rsidRDefault="006B4FB1">
      <w:pPr>
        <w:pStyle w:val="IPPHeading1"/>
        <w:numPr>
          <w:ilvl w:val="0"/>
          <w:numId w:val="5"/>
        </w:numPr>
        <w:ind w:hanging="720"/>
        <w:rPr>
          <w:sz w:val="18"/>
          <w:szCs w:val="18"/>
        </w:rPr>
      </w:pPr>
      <w:r w:rsidRPr="001E1601">
        <w:rPr>
          <w:rStyle w:val="PleaseReviewParagraphId"/>
          <w:b w:val="0"/>
        </w:rPr>
        <w:lastRenderedPageBreak/>
        <w:t>[</w:t>
      </w:r>
      <w:bookmarkStart w:id="0" w:name="_Hlk49259237"/>
      <w:r w:rsidR="00C837A9" w:rsidRPr="001E1601">
        <w:rPr>
          <w:rStyle w:val="PleaseReviewParagraphId"/>
          <w:b w:val="0"/>
        </w:rPr>
        <w:t>38]</w:t>
      </w:r>
      <w:r w:rsidR="00C837A9" w:rsidRPr="001E1601">
        <w:t>Pest</w:t>
      </w:r>
      <w:r w:rsidRPr="001E1601">
        <w:t xml:space="preserve"> information</w:t>
      </w:r>
      <w:bookmarkStart w:id="1" w:name="_Hlk64128466"/>
      <w:bookmarkEnd w:id="0"/>
      <w:bookmarkEnd w:id="1"/>
    </w:p>
    <w:p w14:paraId="491D02B0" w14:textId="357BE092" w:rsidR="00171C04" w:rsidRPr="001E1601" w:rsidRDefault="006B4FB1" w:rsidP="00552071">
      <w:pPr>
        <w:pStyle w:val="IPPParagraphnumbering"/>
        <w:tabs>
          <w:tab w:val="clear" w:pos="0"/>
        </w:tabs>
        <w:ind w:firstLine="0"/>
        <w:rPr>
          <w:lang w:val="en-GB"/>
        </w:rPr>
      </w:pPr>
      <w:r w:rsidRPr="001E1601">
        <w:rPr>
          <w:rStyle w:val="PleaseReviewParagraphId"/>
          <w:lang w:val="en-GB"/>
        </w:rPr>
        <w:t>[</w:t>
      </w:r>
      <w:r w:rsidR="00CD4DC9" w:rsidRPr="001E1601">
        <w:rPr>
          <w:rStyle w:val="PleaseReviewParagraphId"/>
          <w:lang w:val="en-GB"/>
        </w:rPr>
        <w:t>39]</w:t>
      </w:r>
      <w:r w:rsidR="00CD4DC9" w:rsidRPr="001E1601">
        <w:rPr>
          <w:lang w:val="en-GB"/>
        </w:rPr>
        <w:t>The</w:t>
      </w:r>
      <w:r w:rsidRPr="001E1601">
        <w:rPr>
          <w:lang w:val="en-GB"/>
        </w:rPr>
        <w:t xml:space="preserve"> cassava green mite, </w:t>
      </w:r>
      <w:r w:rsidRPr="001E1601">
        <w:rPr>
          <w:rFonts w:eastAsia="Times New Roman"/>
          <w:i/>
          <w:iCs/>
          <w:lang w:val="en-GB"/>
        </w:rPr>
        <w:t>Mononychellus tanajoa</w:t>
      </w:r>
      <w:r w:rsidRPr="001E1601">
        <w:rPr>
          <w:rFonts w:eastAsia="Times New Roman"/>
          <w:lang w:val="en-GB"/>
        </w:rPr>
        <w:t xml:space="preserve"> </w:t>
      </w:r>
      <w:r w:rsidRPr="001E1601">
        <w:rPr>
          <w:lang w:val="en-GB"/>
        </w:rPr>
        <w:t xml:space="preserve">(Bondar) (Acari: Tetranychidae), is one of the major pests of cassava </w:t>
      </w:r>
      <w:r w:rsidRPr="001E1601">
        <w:rPr>
          <w:i/>
          <w:lang w:val="en-GB"/>
        </w:rPr>
        <w:t>Manihot esculenta</w:t>
      </w:r>
      <w:r w:rsidRPr="001E1601">
        <w:rPr>
          <w:lang w:val="en-GB"/>
        </w:rPr>
        <w:t xml:space="preserve"> (Euphorbiaceae) (Byrne </w:t>
      </w:r>
      <w:r w:rsidRPr="001E1601">
        <w:rPr>
          <w:i/>
          <w:iCs/>
          <w:lang w:val="en-GB"/>
        </w:rPr>
        <w:t>et al.</w:t>
      </w:r>
      <w:r w:rsidRPr="001E1601">
        <w:rPr>
          <w:lang w:val="en-GB"/>
        </w:rPr>
        <w:t xml:space="preserve">, 1982; Byrne, Belloti and Guerrero, 1983; Veiga, 1985) – </w:t>
      </w:r>
      <w:r w:rsidR="006312C1" w:rsidRPr="001E1601">
        <w:rPr>
          <w:lang w:val="en-GB"/>
        </w:rPr>
        <w:t>a</w:t>
      </w:r>
      <w:r w:rsidRPr="001E1601">
        <w:rPr>
          <w:lang w:val="en-GB"/>
        </w:rPr>
        <w:t xml:space="preserve"> staple crop for more than 11 percent of the world’s population (FAO, 2013). </w:t>
      </w:r>
      <w:bookmarkStart w:id="2" w:name="_Hlk64109996"/>
      <w:r w:rsidRPr="001E1601">
        <w:rPr>
          <w:lang w:val="en-GB"/>
        </w:rPr>
        <w:t xml:space="preserve">It </w:t>
      </w:r>
      <w:bookmarkEnd w:id="2"/>
      <w:r w:rsidRPr="001E1601">
        <w:rPr>
          <w:lang w:val="en-GB"/>
        </w:rPr>
        <w:t>prefers to feed on the underside of young leaves of growing shoots of the cassava plant. Immature and adult mites feed by piercing plant tissues and sucking out the contents of cells, leading to leaf distortion and chlorotic mottling (Figure 1A</w:t>
      </w:r>
      <w:r w:rsidR="0089317E" w:rsidRPr="001E1601">
        <w:rPr>
          <w:lang w:val="en-GB"/>
        </w:rPr>
        <w:t xml:space="preserve"> to Figure 1</w:t>
      </w:r>
      <w:r w:rsidR="00EE0367" w:rsidRPr="001E1601">
        <w:rPr>
          <w:lang w:val="en-GB"/>
        </w:rPr>
        <w:t>C</w:t>
      </w:r>
      <w:r w:rsidR="00F23360" w:rsidRPr="001E1601">
        <w:rPr>
          <w:lang w:val="en-GB"/>
        </w:rPr>
        <w:t>)</w:t>
      </w:r>
      <w:r w:rsidR="00CD4DC9" w:rsidRPr="001E1601">
        <w:rPr>
          <w:lang w:val="en-GB"/>
        </w:rPr>
        <w:t>.</w:t>
      </w:r>
      <w:r w:rsidRPr="001E1601">
        <w:rPr>
          <w:lang w:val="en-GB"/>
        </w:rPr>
        <w:t xml:space="preserve"> Severe mite damage can lead to defoliation of the upper parts of shoots, producing a “candlestick” appearance (Figure 1D) and resulting in 50–80% storage</w:t>
      </w:r>
      <w:r w:rsidR="00EA38F8" w:rsidRPr="001E1601">
        <w:rPr>
          <w:lang w:val="en-GB"/>
        </w:rPr>
        <w:t>-</w:t>
      </w:r>
      <w:r w:rsidRPr="001E1601">
        <w:rPr>
          <w:lang w:val="en-GB"/>
        </w:rPr>
        <w:t xml:space="preserve">root yield loss (Shukla, 1976; </w:t>
      </w:r>
      <w:r w:rsidR="00BB6C46" w:rsidRPr="001E1601">
        <w:rPr>
          <w:lang w:val="en-GB"/>
        </w:rPr>
        <w:t xml:space="preserve">Byrne </w:t>
      </w:r>
      <w:r w:rsidR="00BB6C46" w:rsidRPr="001E1601">
        <w:rPr>
          <w:i/>
          <w:iCs/>
          <w:lang w:val="en-GB"/>
        </w:rPr>
        <w:t>et al.</w:t>
      </w:r>
      <w:r w:rsidR="00BB6C46" w:rsidRPr="001E1601">
        <w:rPr>
          <w:lang w:val="en-GB"/>
        </w:rPr>
        <w:t xml:space="preserve">, 1982; </w:t>
      </w:r>
      <w:r w:rsidRPr="001E1601">
        <w:rPr>
          <w:lang w:val="en-GB"/>
        </w:rPr>
        <w:t xml:space="preserve">Byrne, Belloti and Guerrero, 1983; Veiga, 1985; CABI, 2020). </w:t>
      </w:r>
    </w:p>
    <w:p w14:paraId="491D02B1" w14:textId="37E2DF34" w:rsidR="00171C04" w:rsidRPr="001E1601" w:rsidRDefault="006B4FB1" w:rsidP="00552071">
      <w:pPr>
        <w:pStyle w:val="IPPParagraphnumbering"/>
        <w:tabs>
          <w:tab w:val="clear" w:pos="0"/>
        </w:tabs>
        <w:ind w:firstLine="0"/>
        <w:rPr>
          <w:lang w:val="en-GB"/>
        </w:rPr>
      </w:pPr>
      <w:r w:rsidRPr="001E1601">
        <w:rPr>
          <w:rStyle w:val="PleaseReviewParagraphId"/>
          <w:lang w:val="en-GB"/>
        </w:rPr>
        <w:t>[</w:t>
      </w:r>
      <w:r w:rsidR="00CD4DC9" w:rsidRPr="001E1601">
        <w:rPr>
          <w:rStyle w:val="PleaseReviewParagraphId"/>
          <w:lang w:val="en-GB"/>
        </w:rPr>
        <w:t>42]</w:t>
      </w:r>
      <w:r w:rsidR="00CD4DC9" w:rsidRPr="001E1601">
        <w:rPr>
          <w:rFonts w:eastAsia="Times New Roman"/>
          <w:i/>
          <w:iCs/>
          <w:lang w:val="en-GB"/>
        </w:rPr>
        <w:t>Mononychellus</w:t>
      </w:r>
      <w:r w:rsidRPr="001E1601">
        <w:rPr>
          <w:rFonts w:eastAsia="Times New Roman"/>
          <w:i/>
          <w:iCs/>
          <w:lang w:val="en-GB"/>
        </w:rPr>
        <w:t xml:space="preserve"> tanajoa</w:t>
      </w:r>
      <w:r w:rsidRPr="001E1601">
        <w:rPr>
          <w:rFonts w:eastAsia="Times New Roman"/>
          <w:lang w:val="en-GB"/>
        </w:rPr>
        <w:t xml:space="preserve"> (</w:t>
      </w:r>
      <w:r w:rsidRPr="001E1601">
        <w:rPr>
          <w:lang w:val="en-GB"/>
        </w:rPr>
        <w:t>Figure 2A</w:t>
      </w:r>
      <w:r w:rsidRPr="001E1601">
        <w:rPr>
          <w:rFonts w:eastAsia="Times New Roman"/>
          <w:lang w:val="en-GB"/>
        </w:rPr>
        <w:t xml:space="preserve">) is a </w:t>
      </w:r>
      <w:r w:rsidRPr="001E1601">
        <w:rPr>
          <w:lang w:val="en-GB"/>
        </w:rPr>
        <w:t xml:space="preserve">tropical and subtropical species. </w:t>
      </w:r>
      <w:r w:rsidRPr="001E1601">
        <w:rPr>
          <w:rFonts w:eastAsia="Times New Roman"/>
          <w:lang w:val="en-GB"/>
        </w:rPr>
        <w:t>It</w:t>
      </w:r>
      <w:r w:rsidRPr="001E1601">
        <w:rPr>
          <w:lang w:val="en-GB"/>
        </w:rPr>
        <w:t xml:space="preserve"> was first described </w:t>
      </w:r>
      <w:r w:rsidR="00E42F44" w:rsidRPr="001E1601">
        <w:rPr>
          <w:lang w:val="en-GB"/>
        </w:rPr>
        <w:t>o</w:t>
      </w:r>
      <w:r w:rsidR="00222769" w:rsidRPr="001E1601">
        <w:rPr>
          <w:lang w:val="en-GB"/>
        </w:rPr>
        <w:t>n</w:t>
      </w:r>
      <w:r w:rsidR="00E42F44" w:rsidRPr="001E1601">
        <w:rPr>
          <w:lang w:val="en-GB"/>
        </w:rPr>
        <w:t xml:space="preserve"> </w:t>
      </w:r>
      <w:r w:rsidRPr="001E1601">
        <w:rPr>
          <w:i/>
          <w:iCs/>
          <w:lang w:val="en-GB"/>
        </w:rPr>
        <w:t>Manihot</w:t>
      </w:r>
      <w:r w:rsidRPr="001E1601">
        <w:rPr>
          <w:lang w:val="en-GB"/>
        </w:rPr>
        <w:t xml:space="preserve"> spp. in </w:t>
      </w:r>
      <w:r w:rsidR="00DF045B" w:rsidRPr="001E1601">
        <w:rPr>
          <w:lang w:val="en-GB"/>
        </w:rPr>
        <w:t>Brazil</w:t>
      </w:r>
      <w:r w:rsidRPr="001E1601">
        <w:rPr>
          <w:lang w:val="en-GB"/>
        </w:rPr>
        <w:t xml:space="preserve"> in 1938 and is now widely distributed in South and Central America (Machi </w:t>
      </w:r>
      <w:r w:rsidRPr="001E1601">
        <w:rPr>
          <w:i/>
          <w:iCs/>
          <w:lang w:val="en-GB"/>
        </w:rPr>
        <w:t>et al.</w:t>
      </w:r>
      <w:r w:rsidR="00CD4DC9" w:rsidRPr="00584267">
        <w:rPr>
          <w:lang w:val="en-GB"/>
        </w:rPr>
        <w:t>,</w:t>
      </w:r>
      <w:r w:rsidRPr="001E1601">
        <w:rPr>
          <w:lang w:val="en-GB"/>
        </w:rPr>
        <w:t xml:space="preserve"> 2014; Vásquez-Ordóñez and Parsa, 2014; CABI, 202</w:t>
      </w:r>
      <w:r w:rsidR="00286342">
        <w:rPr>
          <w:lang w:val="en-GB"/>
        </w:rPr>
        <w:t>3</w:t>
      </w:r>
      <w:r w:rsidRPr="001E1601">
        <w:rPr>
          <w:lang w:val="en-GB"/>
        </w:rPr>
        <w:t xml:space="preserve">; EPPO, </w:t>
      </w:r>
      <w:r w:rsidR="00D26A7D" w:rsidRPr="001E1601">
        <w:rPr>
          <w:lang w:val="en-GB"/>
        </w:rPr>
        <w:t>2022</w:t>
      </w:r>
      <w:r w:rsidRPr="001E1601">
        <w:rPr>
          <w:lang w:val="en-GB"/>
        </w:rPr>
        <w:t xml:space="preserve">; Migeon and Dorkeld, 2021). In Africa, </w:t>
      </w:r>
      <w:r w:rsidRPr="001E1601">
        <w:rPr>
          <w:i/>
          <w:iCs/>
          <w:lang w:val="en-GB"/>
        </w:rPr>
        <w:t>M. tanajoa</w:t>
      </w:r>
      <w:r w:rsidRPr="001E1601">
        <w:rPr>
          <w:lang w:val="en-GB"/>
        </w:rPr>
        <w:t xml:space="preserve"> was first reported in Uganda in 1971 (Lyon, 1973). From there, it rapidly </w:t>
      </w:r>
      <w:r w:rsidR="006A54FB">
        <w:rPr>
          <w:lang w:val="en-GB"/>
        </w:rPr>
        <w:t>expanded its distributed</w:t>
      </w:r>
      <w:r w:rsidR="006A54FB" w:rsidRPr="001E1601">
        <w:rPr>
          <w:lang w:val="en-GB"/>
        </w:rPr>
        <w:t xml:space="preserve"> </w:t>
      </w:r>
      <w:r w:rsidRPr="001E1601">
        <w:rPr>
          <w:lang w:val="en-GB"/>
        </w:rPr>
        <w:t xml:space="preserve">throughout the cassava-growing regions of the continent and is now established in over 30 countries (Byrne, Belloti and Guerrero, 1983; Gutierrez </w:t>
      </w:r>
      <w:r w:rsidRPr="001E1601">
        <w:rPr>
          <w:i/>
          <w:iCs/>
          <w:lang w:val="en-GB"/>
        </w:rPr>
        <w:t>et al.</w:t>
      </w:r>
      <w:r w:rsidRPr="001E1601">
        <w:rPr>
          <w:lang w:val="en-GB"/>
        </w:rPr>
        <w:t xml:space="preserve">, 1988; Yaninek, 1988; Yaninek, </w:t>
      </w:r>
      <w:r w:rsidR="00561C43" w:rsidRPr="001E1601">
        <w:rPr>
          <w:lang w:val="en-GB"/>
        </w:rPr>
        <w:t>Moraes and Markham,</w:t>
      </w:r>
      <w:r w:rsidR="00561C43" w:rsidRPr="001E1601">
        <w:rPr>
          <w:i/>
          <w:iCs/>
          <w:lang w:val="en-GB"/>
        </w:rPr>
        <w:t xml:space="preserve"> </w:t>
      </w:r>
      <w:r w:rsidRPr="001E1601">
        <w:rPr>
          <w:lang w:val="en-GB"/>
        </w:rPr>
        <w:t>1989; Bolland, Gutierrez and Flechtmann, 1998; Vásquez-Ordóñez and Parsa, 2014; CABI, 202</w:t>
      </w:r>
      <w:r w:rsidR="00286342">
        <w:rPr>
          <w:lang w:val="en-GB"/>
        </w:rPr>
        <w:t>3</w:t>
      </w:r>
      <w:r w:rsidRPr="001E1601">
        <w:rPr>
          <w:lang w:val="en-GB"/>
        </w:rPr>
        <w:t xml:space="preserve">; EPPO, </w:t>
      </w:r>
      <w:r w:rsidR="00D26A7D" w:rsidRPr="001E1601">
        <w:rPr>
          <w:lang w:val="en-GB"/>
        </w:rPr>
        <w:t>2022</w:t>
      </w:r>
      <w:r w:rsidRPr="001E1601">
        <w:rPr>
          <w:lang w:val="en-GB"/>
        </w:rPr>
        <w:t>; Migeon and Dorkeld, 2021).</w:t>
      </w:r>
    </w:p>
    <w:p w14:paraId="491D02B2" w14:textId="14A1A08E" w:rsidR="00171C04" w:rsidRPr="001E1601" w:rsidRDefault="006B4FB1" w:rsidP="00552071">
      <w:pPr>
        <w:pStyle w:val="IPPParagraphnumbering"/>
        <w:tabs>
          <w:tab w:val="clear" w:pos="0"/>
        </w:tabs>
        <w:ind w:firstLine="0"/>
        <w:rPr>
          <w:lang w:val="en-GB"/>
        </w:rPr>
      </w:pPr>
      <w:r w:rsidRPr="001E1601">
        <w:rPr>
          <w:rStyle w:val="PleaseReviewParagraphId"/>
          <w:lang w:val="en-GB"/>
        </w:rPr>
        <w:t>[</w:t>
      </w:r>
      <w:r w:rsidR="00392805" w:rsidRPr="001E1601">
        <w:rPr>
          <w:rStyle w:val="PleaseReviewParagraphId"/>
          <w:lang w:val="en-GB"/>
        </w:rPr>
        <w:t>43]</w:t>
      </w:r>
      <w:r w:rsidR="00392805" w:rsidRPr="001E1601">
        <w:rPr>
          <w:lang w:val="en-GB"/>
        </w:rPr>
        <w:t>This</w:t>
      </w:r>
      <w:r w:rsidRPr="001E1601">
        <w:rPr>
          <w:lang w:val="en-GB"/>
        </w:rPr>
        <w:t xml:space="preserve"> mite is mainly a pest of cultivated </w:t>
      </w:r>
      <w:r w:rsidRPr="001E1601">
        <w:rPr>
          <w:i/>
          <w:lang w:val="en-GB"/>
        </w:rPr>
        <w:t>M. esculenta</w:t>
      </w:r>
      <w:r w:rsidRPr="001E1601">
        <w:rPr>
          <w:iCs/>
          <w:lang w:val="en-GB"/>
        </w:rPr>
        <w:t>,</w:t>
      </w:r>
      <w:r w:rsidRPr="001E1601">
        <w:rPr>
          <w:lang w:val="en-GB"/>
        </w:rPr>
        <w:t xml:space="preserve"> although </w:t>
      </w:r>
      <w:r w:rsidR="00E74C61" w:rsidRPr="001E1601">
        <w:rPr>
          <w:lang w:val="en-GB"/>
        </w:rPr>
        <w:t xml:space="preserve">it </w:t>
      </w:r>
      <w:r w:rsidRPr="001E1601">
        <w:rPr>
          <w:lang w:val="en-GB"/>
        </w:rPr>
        <w:t>has been recorded on other</w:t>
      </w:r>
      <w:r w:rsidRPr="001E1601">
        <w:rPr>
          <w:i/>
          <w:iCs/>
          <w:lang w:val="en-GB"/>
        </w:rPr>
        <w:t xml:space="preserve"> </w:t>
      </w:r>
      <w:r w:rsidRPr="001E1601">
        <w:rPr>
          <w:i/>
          <w:lang w:val="en-GB"/>
        </w:rPr>
        <w:t>Manihot</w:t>
      </w:r>
      <w:r w:rsidRPr="001E1601">
        <w:rPr>
          <w:lang w:val="en-GB"/>
        </w:rPr>
        <w:t xml:space="preserve"> species (Bondar, 1938; Flechtmann and Baker, 1970). </w:t>
      </w:r>
      <w:r w:rsidR="006655FA" w:rsidRPr="001E1601">
        <w:rPr>
          <w:lang w:val="en-GB"/>
        </w:rPr>
        <w:t>It also</w:t>
      </w:r>
      <w:r w:rsidRPr="001E1601">
        <w:rPr>
          <w:lang w:val="en-GB"/>
        </w:rPr>
        <w:t xml:space="preserve"> occurs on several species in other plant families, including </w:t>
      </w:r>
      <w:r w:rsidRPr="001E1601">
        <w:rPr>
          <w:i/>
          <w:iCs/>
          <w:lang w:val="en-GB"/>
        </w:rPr>
        <w:t>Erythrina</w:t>
      </w:r>
      <w:r w:rsidRPr="001E1601">
        <w:rPr>
          <w:lang w:val="en-GB"/>
        </w:rPr>
        <w:t xml:space="preserve"> sp., </w:t>
      </w:r>
      <w:r w:rsidRPr="001E1601">
        <w:rPr>
          <w:i/>
          <w:iCs/>
          <w:lang w:val="en-GB"/>
        </w:rPr>
        <w:t>Gliricidia maculata</w:t>
      </w:r>
      <w:r w:rsidRPr="001E1601">
        <w:rPr>
          <w:lang w:val="en-GB"/>
        </w:rPr>
        <w:t xml:space="preserve">, </w:t>
      </w:r>
      <w:r w:rsidRPr="001E1601">
        <w:rPr>
          <w:i/>
          <w:iCs/>
          <w:lang w:val="en-GB"/>
        </w:rPr>
        <w:t>Gliricidia sepium</w:t>
      </w:r>
      <w:r w:rsidRPr="001E1601">
        <w:rPr>
          <w:lang w:val="en-GB"/>
        </w:rPr>
        <w:t xml:space="preserve">, </w:t>
      </w:r>
      <w:r w:rsidRPr="001E1601">
        <w:rPr>
          <w:i/>
          <w:iCs/>
          <w:lang w:val="en-GB"/>
        </w:rPr>
        <w:t>Phaseolus vulgaris</w:t>
      </w:r>
      <w:r w:rsidRPr="001E1601">
        <w:rPr>
          <w:lang w:val="en-GB"/>
        </w:rPr>
        <w:t xml:space="preserve"> and </w:t>
      </w:r>
      <w:r w:rsidRPr="001E1601">
        <w:rPr>
          <w:i/>
          <w:iCs/>
          <w:lang w:val="en-GB"/>
        </w:rPr>
        <w:t>Senna occidentalis</w:t>
      </w:r>
      <w:r w:rsidRPr="001E1601">
        <w:rPr>
          <w:lang w:val="en-GB"/>
        </w:rPr>
        <w:t xml:space="preserve"> (Fabaceae) (Rossi Simons, 1961; Baker and Pritchard, 1962; Estebanes-Gonzalez and Baker, 1968; Andrews and Poe, 1980; Mendonça </w:t>
      </w:r>
      <w:r w:rsidRPr="001E1601">
        <w:rPr>
          <w:i/>
          <w:iCs/>
          <w:lang w:val="en-GB"/>
        </w:rPr>
        <w:t>et al</w:t>
      </w:r>
      <w:r w:rsidRPr="001E1601">
        <w:rPr>
          <w:lang w:val="en-GB"/>
        </w:rPr>
        <w:t xml:space="preserve">., 2011); </w:t>
      </w:r>
      <w:r w:rsidRPr="001E1601">
        <w:rPr>
          <w:i/>
          <w:iCs/>
          <w:lang w:val="en-GB"/>
        </w:rPr>
        <w:t>Passiflora cincinnata</w:t>
      </w:r>
      <w:r w:rsidRPr="001E1601">
        <w:rPr>
          <w:lang w:val="en-GB"/>
        </w:rPr>
        <w:t xml:space="preserve"> and </w:t>
      </w:r>
      <w:r w:rsidRPr="001E1601">
        <w:rPr>
          <w:i/>
          <w:iCs/>
          <w:lang w:val="en-GB"/>
        </w:rPr>
        <w:t>Passiflora edulis</w:t>
      </w:r>
      <w:r w:rsidRPr="001E1601">
        <w:rPr>
          <w:lang w:val="en-GB"/>
        </w:rPr>
        <w:t xml:space="preserve"> (Passifloraceae) (Moraes, Moreira and Delalibera, 1995; Mendonça </w:t>
      </w:r>
      <w:r w:rsidRPr="001E1601">
        <w:rPr>
          <w:i/>
          <w:iCs/>
          <w:lang w:val="en-GB"/>
        </w:rPr>
        <w:t>et al.</w:t>
      </w:r>
      <w:r w:rsidRPr="001E1601">
        <w:rPr>
          <w:lang w:val="en-GB"/>
        </w:rPr>
        <w:t xml:space="preserve">, 2011); and </w:t>
      </w:r>
      <w:r w:rsidRPr="001E1601">
        <w:rPr>
          <w:i/>
          <w:iCs/>
          <w:lang w:val="en-GB"/>
        </w:rPr>
        <w:t>Typha domingensis</w:t>
      </w:r>
      <w:r w:rsidRPr="001E1601">
        <w:rPr>
          <w:lang w:val="en-GB"/>
        </w:rPr>
        <w:t xml:space="preserve"> (Typhaceae) (Moraes, Moreira and Delalibera, 1995; </w:t>
      </w:r>
      <w:r w:rsidR="00A92D1D" w:rsidRPr="001E1601">
        <w:rPr>
          <w:lang w:val="en-GB"/>
        </w:rPr>
        <w:t xml:space="preserve">Aguilar and Murillo, 2008; </w:t>
      </w:r>
      <w:r w:rsidRPr="001E1601">
        <w:rPr>
          <w:lang w:val="en-GB"/>
        </w:rPr>
        <w:t>Migeon and Dorkeld, 2021).</w:t>
      </w:r>
    </w:p>
    <w:p w14:paraId="491D02B3" w14:textId="286016AF" w:rsidR="00171C04" w:rsidRPr="001E1601" w:rsidRDefault="006B4FB1" w:rsidP="00552071">
      <w:pPr>
        <w:pStyle w:val="IPPParagraphnumbering"/>
        <w:tabs>
          <w:tab w:val="clear" w:pos="0"/>
        </w:tabs>
        <w:ind w:firstLine="0"/>
        <w:rPr>
          <w:lang w:val="en-GB"/>
        </w:rPr>
      </w:pPr>
      <w:r w:rsidRPr="001E1601">
        <w:rPr>
          <w:rStyle w:val="PleaseReviewParagraphId"/>
          <w:lang w:val="en-GB"/>
        </w:rPr>
        <w:t>[</w:t>
      </w:r>
      <w:r w:rsidR="00473C21" w:rsidRPr="001E1601">
        <w:rPr>
          <w:rStyle w:val="PleaseReviewParagraphId"/>
          <w:lang w:val="en-GB"/>
        </w:rPr>
        <w:t>44]</w:t>
      </w:r>
      <w:r w:rsidR="00473C21" w:rsidRPr="001E1601">
        <w:rPr>
          <w:lang w:val="en-GB"/>
        </w:rPr>
        <w:t>The</w:t>
      </w:r>
      <w:r w:rsidRPr="001E1601">
        <w:rPr>
          <w:lang w:val="en-GB"/>
        </w:rPr>
        <w:t xml:space="preserve"> life cycle of </w:t>
      </w:r>
      <w:r w:rsidRPr="001E1601">
        <w:rPr>
          <w:rFonts w:eastAsia="Times New Roman"/>
          <w:i/>
          <w:iCs/>
          <w:lang w:val="en-GB"/>
        </w:rPr>
        <w:t>M. tanajoa</w:t>
      </w:r>
      <w:r w:rsidRPr="001E1601">
        <w:rPr>
          <w:lang w:val="en-GB"/>
        </w:rPr>
        <w:t xml:space="preserve"> consists of the egg and four active stages: six-legged larva, eight-legged protonymph, deutonymph and adult. An inactive (quiescent) stage is present between the active stages, during which moulting occurs. This species overwinters as eggs or adult females. It completes a generation in 24.7 days on </w:t>
      </w:r>
      <w:r w:rsidRPr="001E1601">
        <w:rPr>
          <w:i/>
          <w:iCs/>
          <w:lang w:val="en-GB"/>
        </w:rPr>
        <w:t>M. esculenta</w:t>
      </w:r>
      <w:r w:rsidRPr="001E1601">
        <w:rPr>
          <w:lang w:val="en-GB"/>
        </w:rPr>
        <w:t xml:space="preserve"> at 24 ± 2 °C, 65 ± 10% relative humidity (Moraes, Moreira and Delalibera, 1995). The developmental time can decrease substantially with increasing temperature; </w:t>
      </w:r>
      <w:r w:rsidRPr="001E1601">
        <w:rPr>
          <w:i/>
          <w:iCs/>
          <w:lang w:val="en-GB"/>
        </w:rPr>
        <w:t xml:space="preserve">M. tanajoa </w:t>
      </w:r>
      <w:r w:rsidRPr="001E1601">
        <w:rPr>
          <w:lang w:val="en-GB"/>
        </w:rPr>
        <w:t xml:space="preserve">needs only eight days to develop from egg to adult at 31 °C. An adult female can lay about 58 eggs during </w:t>
      </w:r>
      <w:r w:rsidR="00473C21" w:rsidRPr="001E1601">
        <w:rPr>
          <w:lang w:val="en-GB"/>
        </w:rPr>
        <w:t>her</w:t>
      </w:r>
      <w:r w:rsidRPr="001E1601">
        <w:rPr>
          <w:lang w:val="en-GB"/>
        </w:rPr>
        <w:t xml:space="preserve"> lifetime (Yaninek</w:t>
      </w:r>
      <w:r w:rsidR="00F66413" w:rsidRPr="001E1601">
        <w:rPr>
          <w:lang w:val="en-GB"/>
        </w:rPr>
        <w:t>, Moraes and Markham</w:t>
      </w:r>
      <w:r w:rsidRPr="001E1601">
        <w:rPr>
          <w:lang w:val="en-GB"/>
        </w:rPr>
        <w:t xml:space="preserve">, 1989). The highest population density of </w:t>
      </w:r>
      <w:r w:rsidRPr="001E1601">
        <w:rPr>
          <w:i/>
          <w:lang w:val="en-GB"/>
        </w:rPr>
        <w:t>M. tanajoa</w:t>
      </w:r>
      <w:r w:rsidRPr="001E1601">
        <w:rPr>
          <w:lang w:val="en-GB"/>
        </w:rPr>
        <w:t xml:space="preserve"> occurs during the first half of the dry season (Yaninek</w:t>
      </w:r>
      <w:r w:rsidR="00F66413" w:rsidRPr="001E1601">
        <w:rPr>
          <w:lang w:val="en-GB"/>
        </w:rPr>
        <w:t>, Moraes and Markham</w:t>
      </w:r>
      <w:r w:rsidRPr="001E1601">
        <w:rPr>
          <w:lang w:val="en-GB"/>
        </w:rPr>
        <w:t>, 1989). In Brazil, severe damage is only observed in the dry areas of the northeast region, although the mite is widely distributed in the country (Moraes and Flechtmann, 2008).</w:t>
      </w:r>
    </w:p>
    <w:p w14:paraId="491D02B4" w14:textId="56DF0A8C" w:rsidR="00171C04" w:rsidRPr="001E1601" w:rsidRDefault="006B4FB1" w:rsidP="00552071">
      <w:pPr>
        <w:pStyle w:val="IPPParagraphnumbering"/>
        <w:tabs>
          <w:tab w:val="clear" w:pos="0"/>
        </w:tabs>
        <w:spacing w:after="120"/>
        <w:ind w:firstLine="0"/>
        <w:rPr>
          <w:lang w:val="en-GB"/>
        </w:rPr>
      </w:pPr>
      <w:r w:rsidRPr="001E1601">
        <w:rPr>
          <w:rStyle w:val="PleaseReviewParagraphId"/>
          <w:lang w:val="en-GB"/>
        </w:rPr>
        <w:t>[</w:t>
      </w:r>
      <w:r w:rsidR="00473C21" w:rsidRPr="001E1601">
        <w:rPr>
          <w:rStyle w:val="PleaseReviewParagraphId"/>
          <w:lang w:val="en-GB"/>
        </w:rPr>
        <w:t>45]</w:t>
      </w:r>
      <w:r w:rsidR="00473C21" w:rsidRPr="001E1601">
        <w:rPr>
          <w:lang w:val="en-GB"/>
        </w:rPr>
        <w:t>Mites</w:t>
      </w:r>
      <w:r w:rsidRPr="001E1601">
        <w:rPr>
          <w:lang w:val="en-GB"/>
        </w:rPr>
        <w:t xml:space="preserve"> in the family Phytoseiidae (Figure 2B) are the main natural enemies of spider mites (Tetranychidae). Among the natural enemies of </w:t>
      </w:r>
      <w:r w:rsidRPr="001E1601">
        <w:rPr>
          <w:i/>
          <w:iCs/>
          <w:lang w:val="en-GB"/>
        </w:rPr>
        <w:t>M. tanajoa</w:t>
      </w:r>
      <w:r w:rsidRPr="001E1601">
        <w:rPr>
          <w:lang w:val="en-GB"/>
        </w:rPr>
        <w:t xml:space="preserve">, more than 30 species of Phytoseiidae are found on </w:t>
      </w:r>
      <w:r w:rsidRPr="001E1601">
        <w:rPr>
          <w:i/>
          <w:iCs/>
          <w:lang w:val="en-GB"/>
        </w:rPr>
        <w:t xml:space="preserve">Manihot </w:t>
      </w:r>
      <w:r w:rsidRPr="001E1601">
        <w:rPr>
          <w:iCs/>
          <w:lang w:val="en-GB"/>
        </w:rPr>
        <w:t>spp.</w:t>
      </w:r>
      <w:r w:rsidRPr="001E1601">
        <w:rPr>
          <w:lang w:val="en-GB"/>
        </w:rPr>
        <w:t xml:space="preserve"> (Zannou </w:t>
      </w:r>
      <w:r w:rsidRPr="001E1601">
        <w:rPr>
          <w:i/>
          <w:iCs/>
          <w:lang w:val="en-GB"/>
        </w:rPr>
        <w:t>et al.</w:t>
      </w:r>
      <w:r w:rsidRPr="001E1601">
        <w:rPr>
          <w:lang w:val="en-GB"/>
        </w:rPr>
        <w:t xml:space="preserve">, 2005; Mutisya </w:t>
      </w:r>
      <w:r w:rsidRPr="001E1601">
        <w:rPr>
          <w:i/>
          <w:iCs/>
          <w:lang w:val="en-GB"/>
        </w:rPr>
        <w:t>et al.</w:t>
      </w:r>
      <w:r w:rsidRPr="001E1601">
        <w:rPr>
          <w:lang w:val="en-GB"/>
        </w:rPr>
        <w:t xml:space="preserve">, 2017; Demite </w:t>
      </w:r>
      <w:r w:rsidRPr="001E1601">
        <w:rPr>
          <w:i/>
          <w:iCs/>
          <w:lang w:val="en-GB"/>
        </w:rPr>
        <w:t>et al.</w:t>
      </w:r>
      <w:r w:rsidRPr="001E1601">
        <w:rPr>
          <w:lang w:val="en-GB"/>
        </w:rPr>
        <w:t xml:space="preserve">, 2021). Apart from the phytoseiid mites, the acaropathogenic fungus </w:t>
      </w:r>
      <w:r w:rsidRPr="001E1601">
        <w:rPr>
          <w:i/>
          <w:iCs/>
          <w:lang w:val="en-GB"/>
        </w:rPr>
        <w:t>Neozygites tanajoae</w:t>
      </w:r>
      <w:r w:rsidRPr="001E1601">
        <w:rPr>
          <w:lang w:val="en-GB"/>
        </w:rPr>
        <w:t xml:space="preserve"> (Entomophthorales: Neozygitaceae) (Figure 2C) is a widespread host-specific pathogen of </w:t>
      </w:r>
      <w:r w:rsidRPr="001E1601">
        <w:rPr>
          <w:i/>
          <w:iCs/>
          <w:lang w:val="en-GB"/>
        </w:rPr>
        <w:t>M. tanajoa</w:t>
      </w:r>
      <w:r w:rsidRPr="001E1601">
        <w:rPr>
          <w:lang w:val="en-GB"/>
        </w:rPr>
        <w:t xml:space="preserve"> in Brazil (Delalibera, Hajek and Humber, 2004). It was introduced into Benin in West Africa</w:t>
      </w:r>
      <w:r w:rsidR="007712CB" w:rsidRPr="001E1601">
        <w:rPr>
          <w:lang w:val="en-GB"/>
        </w:rPr>
        <w:t>,</w:t>
      </w:r>
      <w:r w:rsidRPr="001E1601">
        <w:rPr>
          <w:lang w:val="en-GB"/>
        </w:rPr>
        <w:t xml:space="preserve"> where it is </w:t>
      </w:r>
      <w:r w:rsidR="00490EC1" w:rsidRPr="001E1601">
        <w:rPr>
          <w:lang w:val="en-GB"/>
        </w:rPr>
        <w:t xml:space="preserve">now </w:t>
      </w:r>
      <w:r w:rsidRPr="001E1601">
        <w:rPr>
          <w:lang w:val="en-GB"/>
        </w:rPr>
        <w:t xml:space="preserve">widespread (Agboton, Hanna and </w:t>
      </w:r>
      <w:r w:rsidR="0055675C" w:rsidRPr="001E1601">
        <w:rPr>
          <w:lang w:val="en-GB"/>
        </w:rPr>
        <w:t xml:space="preserve">von </w:t>
      </w:r>
      <w:r w:rsidRPr="001E1601">
        <w:rPr>
          <w:lang w:val="en-GB"/>
        </w:rPr>
        <w:t xml:space="preserve">Tiedmann, 2011) alongside the much less virulent </w:t>
      </w:r>
      <w:r w:rsidRPr="001E1601">
        <w:rPr>
          <w:i/>
          <w:iCs/>
          <w:lang w:val="en-GB"/>
        </w:rPr>
        <w:t>Neozygites floridana</w:t>
      </w:r>
      <w:r w:rsidRPr="001E1601">
        <w:rPr>
          <w:lang w:val="en-GB"/>
        </w:rPr>
        <w:t xml:space="preserve">, which has a much broader host range among tetranychid mites (Lopes Ribeiro </w:t>
      </w:r>
      <w:r w:rsidRPr="001E1601">
        <w:rPr>
          <w:i/>
          <w:iCs/>
          <w:lang w:val="en-GB"/>
        </w:rPr>
        <w:t>et al.</w:t>
      </w:r>
      <w:r w:rsidRPr="001E1601">
        <w:rPr>
          <w:lang w:val="en-GB"/>
        </w:rPr>
        <w:t>, 2009).</w:t>
      </w:r>
    </w:p>
    <w:p w14:paraId="491D02B5" w14:textId="4E84286F" w:rsidR="00171C04" w:rsidRPr="001E1601" w:rsidRDefault="006B4FB1">
      <w:pPr>
        <w:pStyle w:val="IPPHeading1"/>
        <w:numPr>
          <w:ilvl w:val="0"/>
          <w:numId w:val="5"/>
        </w:numPr>
        <w:ind w:hanging="720"/>
      </w:pPr>
      <w:r w:rsidRPr="001E1601">
        <w:rPr>
          <w:rStyle w:val="PleaseReviewParagraphId"/>
          <w:b w:val="0"/>
        </w:rPr>
        <w:t>[</w:t>
      </w:r>
      <w:r w:rsidR="007712CB" w:rsidRPr="001E1601">
        <w:rPr>
          <w:rStyle w:val="PleaseReviewParagraphId"/>
          <w:b w:val="0"/>
        </w:rPr>
        <w:t>46]</w:t>
      </w:r>
      <w:r w:rsidR="007712CB" w:rsidRPr="001E1601">
        <w:t>Taxonomic</w:t>
      </w:r>
      <w:r w:rsidRPr="001E1601">
        <w:t xml:space="preserve"> information</w:t>
      </w:r>
      <w:bookmarkStart w:id="3" w:name="_Hlk49259247"/>
      <w:bookmarkEnd w:id="3"/>
    </w:p>
    <w:p w14:paraId="491D02B6" w14:textId="20A61674" w:rsidR="00171C04" w:rsidRPr="001E1601" w:rsidRDefault="006B4FB1" w:rsidP="0013575C">
      <w:pPr>
        <w:pStyle w:val="IPPParagraphnumbering"/>
        <w:tabs>
          <w:tab w:val="clear" w:pos="0"/>
          <w:tab w:val="left" w:pos="2268"/>
        </w:tabs>
        <w:ind w:left="2268" w:hanging="2268"/>
        <w:rPr>
          <w:lang w:val="en-GB"/>
        </w:rPr>
      </w:pPr>
      <w:r w:rsidRPr="001E1601">
        <w:rPr>
          <w:rStyle w:val="PleaseReviewParagraphId"/>
          <w:lang w:val="en-GB"/>
        </w:rPr>
        <w:t>[</w:t>
      </w:r>
      <w:r w:rsidR="007712CB" w:rsidRPr="001E1601">
        <w:rPr>
          <w:rStyle w:val="PleaseReviewParagraphId"/>
          <w:lang w:val="en-GB"/>
        </w:rPr>
        <w:t>47]</w:t>
      </w:r>
      <w:r w:rsidR="007712CB" w:rsidRPr="001E1601">
        <w:rPr>
          <w:b/>
          <w:bCs/>
          <w:lang w:val="en-GB"/>
        </w:rPr>
        <w:t>Name</w:t>
      </w:r>
      <w:r w:rsidRPr="001E1601">
        <w:rPr>
          <w:b/>
          <w:bCs/>
          <w:lang w:val="en-GB"/>
        </w:rPr>
        <w:t>:</w:t>
      </w:r>
      <w:r w:rsidR="0013575C" w:rsidRPr="001E1601">
        <w:rPr>
          <w:b/>
          <w:bCs/>
          <w:lang w:val="en-GB"/>
        </w:rPr>
        <w:tab/>
      </w:r>
      <w:r w:rsidRPr="001E1601">
        <w:rPr>
          <w:i/>
          <w:iCs/>
          <w:lang w:val="en-GB"/>
        </w:rPr>
        <w:t>Mononychellus tanajoa</w:t>
      </w:r>
      <w:r w:rsidRPr="001E1601">
        <w:rPr>
          <w:lang w:val="en-GB"/>
        </w:rPr>
        <w:t xml:space="preserve"> (Bondar, 1938)</w:t>
      </w:r>
    </w:p>
    <w:p w14:paraId="270B68F0" w14:textId="4D0CEA8F" w:rsidR="00552071" w:rsidRPr="001E1601" w:rsidRDefault="006B4FB1" w:rsidP="006671E0">
      <w:pPr>
        <w:pStyle w:val="IPPParagraphnumberingclose"/>
        <w:tabs>
          <w:tab w:val="clear" w:pos="0"/>
        </w:tabs>
        <w:ind w:firstLine="0"/>
        <w:rPr>
          <w:lang w:val="en-GB"/>
        </w:rPr>
      </w:pPr>
      <w:r w:rsidRPr="001E1601">
        <w:rPr>
          <w:rStyle w:val="PleaseReviewParagraphId"/>
          <w:lang w:val="en-GB"/>
        </w:rPr>
        <w:t>[</w:t>
      </w:r>
      <w:bookmarkStart w:id="4" w:name="_Hlk100640898"/>
      <w:r w:rsidR="007712CB" w:rsidRPr="001E1601">
        <w:rPr>
          <w:rStyle w:val="PleaseReviewParagraphId"/>
          <w:lang w:val="en-GB"/>
        </w:rPr>
        <w:t>48]</w:t>
      </w:r>
      <w:r w:rsidR="007712CB" w:rsidRPr="001E1601">
        <w:rPr>
          <w:b/>
          <w:bCs/>
          <w:lang w:val="en-GB"/>
        </w:rPr>
        <w:t>Synonyms</w:t>
      </w:r>
      <w:r w:rsidR="00A272CB" w:rsidRPr="001E1601">
        <w:rPr>
          <w:b/>
          <w:bCs/>
          <w:lang w:val="en-GB"/>
        </w:rPr>
        <w:t xml:space="preserve"> and other scientific names</w:t>
      </w:r>
      <w:r w:rsidRPr="001E1601">
        <w:rPr>
          <w:b/>
          <w:bCs/>
          <w:lang w:val="en-GB"/>
        </w:rPr>
        <w:t>:</w:t>
      </w:r>
    </w:p>
    <w:p w14:paraId="491D02B8" w14:textId="44114DB2" w:rsidR="00171C04" w:rsidRPr="001E1601" w:rsidRDefault="00552071" w:rsidP="00552071">
      <w:pPr>
        <w:pStyle w:val="IPPParagraphnumbering"/>
        <w:tabs>
          <w:tab w:val="clear" w:pos="0"/>
          <w:tab w:val="left" w:pos="2268"/>
        </w:tabs>
        <w:ind w:left="2268" w:hanging="2268"/>
        <w:rPr>
          <w:b/>
          <w:lang w:val="en-GB"/>
        </w:rPr>
      </w:pPr>
      <w:r w:rsidRPr="001E1601">
        <w:rPr>
          <w:rStyle w:val="PleaseReviewParagraphId"/>
          <w:lang w:val="en-GB"/>
        </w:rPr>
        <w:tab/>
      </w:r>
      <w:r w:rsidR="006B4FB1" w:rsidRPr="001E1601">
        <w:rPr>
          <w:rStyle w:val="PleaseReviewParagraphId"/>
          <w:lang w:val="en-GB"/>
        </w:rPr>
        <w:t>[49]</w:t>
      </w:r>
      <w:r w:rsidR="006B4FB1" w:rsidRPr="001E1601">
        <w:rPr>
          <w:i/>
          <w:iCs/>
          <w:lang w:val="en-GB"/>
        </w:rPr>
        <w:t xml:space="preserve">Tetranychus tanajoa </w:t>
      </w:r>
      <w:r w:rsidR="006B4FB1" w:rsidRPr="001E1601">
        <w:rPr>
          <w:lang w:val="en-GB"/>
        </w:rPr>
        <w:t>Bondar, 1938</w:t>
      </w:r>
    </w:p>
    <w:p w14:paraId="491D02B9" w14:textId="1A6443AB" w:rsidR="00171C04" w:rsidRPr="001E1601" w:rsidRDefault="00552071" w:rsidP="00552071">
      <w:pPr>
        <w:pStyle w:val="IPPParagraphnumbering"/>
        <w:tabs>
          <w:tab w:val="clear" w:pos="0"/>
          <w:tab w:val="left" w:pos="2268"/>
        </w:tabs>
        <w:ind w:left="720" w:hanging="720"/>
        <w:rPr>
          <w:lang w:val="en-GB"/>
        </w:rPr>
      </w:pPr>
      <w:r w:rsidRPr="001E1601">
        <w:rPr>
          <w:rStyle w:val="PleaseReviewParagraphId"/>
          <w:lang w:val="en-GB"/>
        </w:rPr>
        <w:tab/>
      </w:r>
      <w:r w:rsidRPr="001E1601">
        <w:rPr>
          <w:rStyle w:val="PleaseReviewParagraphId"/>
          <w:lang w:val="en-GB"/>
        </w:rPr>
        <w:tab/>
      </w:r>
      <w:r w:rsidR="006B4FB1" w:rsidRPr="001E1601">
        <w:rPr>
          <w:rStyle w:val="PleaseReviewParagraphId"/>
          <w:lang w:val="en-GB"/>
        </w:rPr>
        <w:t>[50]</w:t>
      </w:r>
      <w:r w:rsidR="006B4FB1" w:rsidRPr="001E1601">
        <w:rPr>
          <w:i/>
          <w:iCs/>
          <w:lang w:val="en-GB"/>
        </w:rPr>
        <w:t xml:space="preserve">Mononychus tanajoa </w:t>
      </w:r>
      <w:r w:rsidR="006B4FB1" w:rsidRPr="001E1601">
        <w:rPr>
          <w:lang w:val="en-GB"/>
        </w:rPr>
        <w:t>(Bondar, 1938)</w:t>
      </w:r>
    </w:p>
    <w:p w14:paraId="736B5E9E" w14:textId="057879F4" w:rsidR="006671E0" w:rsidRPr="001E1601" w:rsidRDefault="006671E0" w:rsidP="00584267">
      <w:pPr>
        <w:pStyle w:val="IPPParagraphnumbering"/>
        <w:tabs>
          <w:tab w:val="clear" w:pos="0"/>
          <w:tab w:val="left" w:pos="2268"/>
        </w:tabs>
        <w:ind w:left="2268" w:hanging="2268"/>
        <w:rPr>
          <w:b/>
          <w:lang w:val="en-GB"/>
        </w:rPr>
      </w:pPr>
      <w:r w:rsidRPr="001E1601">
        <w:rPr>
          <w:i/>
          <w:lang w:val="en-GB"/>
        </w:rPr>
        <w:tab/>
        <w:t>Eotetranychus estradai</w:t>
      </w:r>
      <w:r w:rsidRPr="001E1601">
        <w:rPr>
          <w:lang w:val="en-GB"/>
        </w:rPr>
        <w:t xml:space="preserve"> Baker and Pritchard, 1962</w:t>
      </w:r>
    </w:p>
    <w:p w14:paraId="491D02BA" w14:textId="21FA525E" w:rsidR="00171C04" w:rsidRPr="001E1601" w:rsidRDefault="006B4FB1" w:rsidP="0013575C">
      <w:pPr>
        <w:pStyle w:val="IPPParagraphnumbering"/>
        <w:tabs>
          <w:tab w:val="clear" w:pos="0"/>
          <w:tab w:val="left" w:pos="2268"/>
        </w:tabs>
        <w:ind w:left="2268" w:hanging="2268"/>
        <w:rPr>
          <w:rFonts w:ascii="Arial" w:hAnsi="Arial"/>
          <w:color w:val="000080"/>
          <w:sz w:val="16"/>
          <w:lang w:val="en-GB"/>
        </w:rPr>
      </w:pPr>
      <w:r w:rsidRPr="001E1601">
        <w:rPr>
          <w:rStyle w:val="PleaseReviewParagraphId"/>
          <w:lang w:val="en-GB"/>
        </w:rPr>
        <w:t>[</w:t>
      </w:r>
      <w:r w:rsidR="007712CB" w:rsidRPr="001E1601">
        <w:rPr>
          <w:rStyle w:val="PleaseReviewParagraphId"/>
          <w:lang w:val="en-GB"/>
        </w:rPr>
        <w:t>51]</w:t>
      </w:r>
      <w:r w:rsidR="007712CB" w:rsidRPr="001E1601">
        <w:rPr>
          <w:b/>
          <w:lang w:val="en-GB"/>
        </w:rPr>
        <w:t>Taxonomic</w:t>
      </w:r>
      <w:r w:rsidRPr="001E1601">
        <w:rPr>
          <w:b/>
          <w:lang w:val="en-GB"/>
        </w:rPr>
        <w:t xml:space="preserve"> position:</w:t>
      </w:r>
      <w:r w:rsidR="0013575C" w:rsidRPr="001E1601">
        <w:rPr>
          <w:b/>
          <w:lang w:val="en-GB"/>
        </w:rPr>
        <w:tab/>
      </w:r>
      <w:r w:rsidRPr="001E1601">
        <w:rPr>
          <w:lang w:val="en-GB"/>
        </w:rPr>
        <w:t>Acari, Trombidiformes, Prostigmata, Tetranychidae</w:t>
      </w:r>
    </w:p>
    <w:p w14:paraId="491D02BB" w14:textId="51529147" w:rsidR="00171C04" w:rsidRPr="001E1601" w:rsidRDefault="006B4FB1" w:rsidP="0013575C">
      <w:pPr>
        <w:pStyle w:val="IPPParagraphnumbering"/>
        <w:tabs>
          <w:tab w:val="clear" w:pos="0"/>
          <w:tab w:val="left" w:pos="2268"/>
        </w:tabs>
        <w:ind w:left="2268" w:hanging="2268"/>
        <w:rPr>
          <w:lang w:val="en-GB"/>
        </w:rPr>
      </w:pPr>
      <w:r w:rsidRPr="001E1601">
        <w:rPr>
          <w:rStyle w:val="PleaseReviewParagraphId"/>
          <w:lang w:val="en-GB"/>
        </w:rPr>
        <w:t>[</w:t>
      </w:r>
      <w:r w:rsidR="007712CB" w:rsidRPr="001E1601">
        <w:rPr>
          <w:rStyle w:val="PleaseReviewParagraphId"/>
          <w:lang w:val="en-GB"/>
        </w:rPr>
        <w:t>52]</w:t>
      </w:r>
      <w:r w:rsidR="007712CB" w:rsidRPr="001E1601">
        <w:rPr>
          <w:b/>
          <w:lang w:val="en-GB"/>
        </w:rPr>
        <w:t>Common</w:t>
      </w:r>
      <w:r w:rsidRPr="001E1601">
        <w:rPr>
          <w:b/>
          <w:lang w:val="en-GB"/>
        </w:rPr>
        <w:t xml:space="preserve"> names:</w:t>
      </w:r>
      <w:r w:rsidR="0013575C" w:rsidRPr="001E1601">
        <w:rPr>
          <w:b/>
          <w:lang w:val="en-GB"/>
        </w:rPr>
        <w:tab/>
      </w:r>
      <w:r w:rsidRPr="001E1601">
        <w:rPr>
          <w:lang w:val="en-GB"/>
        </w:rPr>
        <w:t>cassava green mite, cassava mite</w:t>
      </w:r>
    </w:p>
    <w:p w14:paraId="491D02BC" w14:textId="0CF7B346" w:rsidR="00171C04" w:rsidRPr="001E1601" w:rsidRDefault="006B4FB1">
      <w:pPr>
        <w:pStyle w:val="IPPHeading1"/>
        <w:numPr>
          <w:ilvl w:val="0"/>
          <w:numId w:val="5"/>
        </w:numPr>
        <w:ind w:hanging="720"/>
      </w:pPr>
      <w:r w:rsidRPr="001E1601">
        <w:rPr>
          <w:rStyle w:val="PleaseReviewParagraphId"/>
          <w:b w:val="0"/>
        </w:rPr>
        <w:t>[</w:t>
      </w:r>
      <w:bookmarkStart w:id="5" w:name="_Hlk64185580"/>
      <w:bookmarkEnd w:id="4"/>
      <w:bookmarkEnd w:id="5"/>
      <w:r w:rsidR="007712CB" w:rsidRPr="001E1601">
        <w:rPr>
          <w:rStyle w:val="PleaseReviewParagraphId"/>
          <w:b w:val="0"/>
        </w:rPr>
        <w:t>53]</w:t>
      </w:r>
      <w:r w:rsidR="007712CB" w:rsidRPr="001E1601">
        <w:t>Detection</w:t>
      </w:r>
    </w:p>
    <w:p w14:paraId="491D02BD" w14:textId="78E4154A" w:rsidR="00171C04" w:rsidRPr="001E1601" w:rsidRDefault="006B4FB1" w:rsidP="00C30B5E">
      <w:pPr>
        <w:pStyle w:val="IPPParagraphnumbering"/>
        <w:tabs>
          <w:tab w:val="clear" w:pos="0"/>
        </w:tabs>
        <w:ind w:firstLine="0"/>
        <w:rPr>
          <w:lang w:val="en-GB"/>
        </w:rPr>
      </w:pPr>
      <w:r w:rsidRPr="001E1601">
        <w:rPr>
          <w:rStyle w:val="PleaseReviewParagraphId"/>
          <w:lang w:val="en-GB"/>
        </w:rPr>
        <w:t>[</w:t>
      </w:r>
      <w:bookmarkStart w:id="6" w:name="_Hlk87697573"/>
      <w:r w:rsidR="007712CB" w:rsidRPr="001E1601">
        <w:rPr>
          <w:rStyle w:val="PleaseReviewParagraphId"/>
          <w:lang w:val="en-GB"/>
        </w:rPr>
        <w:t>54]</w:t>
      </w:r>
      <w:r w:rsidR="007712CB" w:rsidRPr="001E1601">
        <w:rPr>
          <w:i/>
          <w:iCs/>
          <w:lang w:val="en-GB"/>
        </w:rPr>
        <w:t>Mononychellus</w:t>
      </w:r>
      <w:r w:rsidRPr="001E1601">
        <w:rPr>
          <w:i/>
          <w:iCs/>
          <w:lang w:val="en-GB"/>
        </w:rPr>
        <w:t xml:space="preserve"> tanajoa</w:t>
      </w:r>
      <w:r w:rsidRPr="001E1601">
        <w:rPr>
          <w:lang w:val="en-GB"/>
        </w:rPr>
        <w:t xml:space="preserve"> </w:t>
      </w:r>
      <w:bookmarkEnd w:id="6"/>
      <w:r w:rsidRPr="001E1601">
        <w:rPr>
          <w:lang w:val="en-GB"/>
        </w:rPr>
        <w:t>may be first found on the underside of young leaves of the upper third of the cassava canopy (Yaninek</w:t>
      </w:r>
      <w:r w:rsidR="00F66413" w:rsidRPr="001E1601">
        <w:rPr>
          <w:lang w:val="en-GB"/>
        </w:rPr>
        <w:t>, Moraes and Markham</w:t>
      </w:r>
      <w:r w:rsidRPr="001E1601">
        <w:rPr>
          <w:lang w:val="en-GB"/>
        </w:rPr>
        <w:t xml:space="preserve">, 1989). With continuous feeding by a growing population of </w:t>
      </w:r>
      <w:r w:rsidRPr="001E1601">
        <w:rPr>
          <w:i/>
          <w:iCs/>
          <w:lang w:val="en-GB"/>
        </w:rPr>
        <w:t>M. tanajoa</w:t>
      </w:r>
      <w:r w:rsidRPr="001E1601">
        <w:rPr>
          <w:lang w:val="en-GB"/>
        </w:rPr>
        <w:t xml:space="preserve">, damage to the leaf expands to impact all interveinal leaf surfaces. Heavily damaged leaves eventually become </w:t>
      </w:r>
      <w:r w:rsidRPr="001E1601">
        <w:rPr>
          <w:rFonts w:eastAsia="Times New Roman"/>
          <w:lang w:val="en-GB"/>
        </w:rPr>
        <w:t xml:space="preserve">desiccated </w:t>
      </w:r>
      <w:r w:rsidRPr="001E1601">
        <w:rPr>
          <w:lang w:val="en-GB"/>
        </w:rPr>
        <w:t xml:space="preserve">and fall. As the mite prefers to feed on young leaves in the upper part of the cassava plant, severe damage can lead to shoot defoliation, giving the appearance of a “candlestick” (Figure 1D). </w:t>
      </w:r>
    </w:p>
    <w:p w14:paraId="491D02BE" w14:textId="47308E7D" w:rsidR="00171C04" w:rsidRPr="001E1601" w:rsidRDefault="006B4FB1" w:rsidP="00C30B5E">
      <w:pPr>
        <w:pStyle w:val="IPPParagraphnumbering"/>
        <w:tabs>
          <w:tab w:val="clear" w:pos="0"/>
        </w:tabs>
        <w:ind w:firstLine="0"/>
        <w:rPr>
          <w:lang w:val="en-GB"/>
        </w:rPr>
      </w:pPr>
      <w:r w:rsidRPr="001E1601">
        <w:rPr>
          <w:rStyle w:val="PleaseReviewParagraphId"/>
          <w:lang w:val="en-GB"/>
        </w:rPr>
        <w:t>[</w:t>
      </w:r>
      <w:r w:rsidR="007712CB" w:rsidRPr="001E1601">
        <w:rPr>
          <w:rStyle w:val="PleaseReviewParagraphId"/>
          <w:lang w:val="en-GB"/>
        </w:rPr>
        <w:t>55]</w:t>
      </w:r>
      <w:r w:rsidR="007712CB" w:rsidRPr="001E1601">
        <w:rPr>
          <w:lang w:val="en-GB"/>
        </w:rPr>
        <w:t>In</w:t>
      </w:r>
      <w:r w:rsidRPr="001E1601">
        <w:rPr>
          <w:lang w:val="en-GB"/>
        </w:rPr>
        <w:t xml:space="preserve"> addition to </w:t>
      </w:r>
      <w:r w:rsidR="00572D10" w:rsidRPr="001E1601">
        <w:rPr>
          <w:lang w:val="en-GB"/>
        </w:rPr>
        <w:t>being found on</w:t>
      </w:r>
      <w:r w:rsidR="008123DA" w:rsidRPr="001E1601">
        <w:rPr>
          <w:lang w:val="en-GB"/>
        </w:rPr>
        <w:t xml:space="preserve"> </w:t>
      </w:r>
      <w:r w:rsidRPr="001E1601">
        <w:rPr>
          <w:lang w:val="en-GB"/>
        </w:rPr>
        <w:t xml:space="preserve">plant foliage, </w:t>
      </w:r>
      <w:r w:rsidRPr="001E1601">
        <w:rPr>
          <w:i/>
          <w:lang w:val="en-GB"/>
        </w:rPr>
        <w:t>M. tanajoa</w:t>
      </w:r>
      <w:r w:rsidRPr="001E1601">
        <w:rPr>
          <w:lang w:val="en-GB"/>
        </w:rPr>
        <w:t xml:space="preserve"> may</w:t>
      </w:r>
      <w:r w:rsidR="008123DA" w:rsidRPr="001E1601">
        <w:rPr>
          <w:lang w:val="en-GB"/>
        </w:rPr>
        <w:t xml:space="preserve"> also</w:t>
      </w:r>
      <w:r w:rsidRPr="001E1601">
        <w:rPr>
          <w:lang w:val="en-GB"/>
        </w:rPr>
        <w:t xml:space="preserve"> be found on cassava stem cuttings, packaging, farm machinery, vehicles and tools, farm waste, workers’ clothing, soil, and nearby plants that are in contact with the host. Because of the small size </w:t>
      </w:r>
      <w:bookmarkStart w:id="7" w:name="_Hlk100412678"/>
      <w:r w:rsidRPr="001E1601">
        <w:rPr>
          <w:lang w:val="en-GB"/>
        </w:rPr>
        <w:t xml:space="preserve">of </w:t>
      </w:r>
      <w:r w:rsidRPr="001E1601">
        <w:rPr>
          <w:i/>
          <w:lang w:val="en-GB"/>
        </w:rPr>
        <w:t>M. tanajoa</w:t>
      </w:r>
      <w:r w:rsidRPr="001E1601">
        <w:rPr>
          <w:iCs/>
          <w:lang w:val="en-GB"/>
        </w:rPr>
        <w:t xml:space="preserve">, </w:t>
      </w:r>
      <w:bookmarkEnd w:id="7"/>
      <w:r w:rsidRPr="001E1601">
        <w:rPr>
          <w:lang w:val="en-GB"/>
        </w:rPr>
        <w:t>it is extremely difficult to detect during the early stages of an infestation.</w:t>
      </w:r>
    </w:p>
    <w:p w14:paraId="491D02BF" w14:textId="0876C023" w:rsidR="00171C04" w:rsidRPr="001E1601" w:rsidRDefault="006B4FB1" w:rsidP="00C30B5E">
      <w:pPr>
        <w:pStyle w:val="IPPParagraphnumbering"/>
        <w:tabs>
          <w:tab w:val="clear" w:pos="0"/>
        </w:tabs>
        <w:ind w:firstLine="0"/>
        <w:rPr>
          <w:lang w:val="en-GB"/>
        </w:rPr>
      </w:pPr>
      <w:r w:rsidRPr="001E1601">
        <w:rPr>
          <w:rStyle w:val="PleaseReviewParagraphId"/>
          <w:lang w:val="en-GB"/>
        </w:rPr>
        <w:t>[</w:t>
      </w:r>
      <w:r w:rsidR="007712CB" w:rsidRPr="001E1601">
        <w:rPr>
          <w:rStyle w:val="PleaseReviewParagraphId"/>
          <w:lang w:val="en-GB"/>
        </w:rPr>
        <w:t>56]</w:t>
      </w:r>
      <w:r w:rsidR="007712CB" w:rsidRPr="001E1601">
        <w:rPr>
          <w:lang w:val="en-GB"/>
        </w:rPr>
        <w:t>While</w:t>
      </w:r>
      <w:r w:rsidRPr="001E1601">
        <w:rPr>
          <w:lang w:val="en-GB"/>
        </w:rPr>
        <w:t xml:space="preserve"> host symptoms are seen with the naked eye, all life stages of </w:t>
      </w:r>
      <w:r w:rsidRPr="001E1601">
        <w:rPr>
          <w:i/>
          <w:lang w:val="en-GB"/>
        </w:rPr>
        <w:t>M. tanajoa</w:t>
      </w:r>
      <w:r w:rsidRPr="001E1601">
        <w:rPr>
          <w:lang w:val="en-GB"/>
        </w:rPr>
        <w:t xml:space="preserve"> require magnification with a hand lens or stereomicroscope. The uppermost, recently unfolded, mature leaves are the best to look at for detecting and monitoring </w:t>
      </w:r>
      <w:r w:rsidRPr="001E1601">
        <w:rPr>
          <w:i/>
          <w:lang w:val="en-GB"/>
        </w:rPr>
        <w:t xml:space="preserve">M. tanajoa </w:t>
      </w:r>
      <w:r w:rsidRPr="001E1601">
        <w:rPr>
          <w:lang w:val="en-GB"/>
        </w:rPr>
        <w:t>infestations. A hand (or head) lens of a minimum of 5× magnification (</w:t>
      </w:r>
      <w:r w:rsidR="00681BE3" w:rsidRPr="001E1601">
        <w:rPr>
          <w:lang w:val="en-GB"/>
        </w:rPr>
        <w:t xml:space="preserve">preferably 10×) </w:t>
      </w:r>
      <w:r w:rsidR="004E299F" w:rsidRPr="001E1601">
        <w:rPr>
          <w:lang w:val="en-GB"/>
        </w:rPr>
        <w:t>allows</w:t>
      </w:r>
      <w:r w:rsidR="00681BE3" w:rsidRPr="001E1601">
        <w:rPr>
          <w:lang w:val="en-GB"/>
        </w:rPr>
        <w:t xml:space="preserve"> </w:t>
      </w:r>
      <w:r w:rsidRPr="001E1601">
        <w:rPr>
          <w:lang w:val="en-GB"/>
        </w:rPr>
        <w:t>detect</w:t>
      </w:r>
      <w:r w:rsidR="004E299F" w:rsidRPr="001E1601">
        <w:rPr>
          <w:lang w:val="en-GB"/>
        </w:rPr>
        <w:t>ion of</w:t>
      </w:r>
      <w:r w:rsidRPr="001E1601">
        <w:rPr>
          <w:lang w:val="en-GB"/>
        </w:rPr>
        <w:t xml:space="preserve"> </w:t>
      </w:r>
      <w:r w:rsidRPr="001E1601">
        <w:rPr>
          <w:i/>
          <w:lang w:val="en-GB"/>
        </w:rPr>
        <w:t>M. tanajoa</w:t>
      </w:r>
      <w:r w:rsidRPr="001E1601">
        <w:rPr>
          <w:lang w:val="en-GB"/>
        </w:rPr>
        <w:t xml:space="preserve"> on leaf surfaces. Sampling programmes based on actual counts, classes of densities and binomial (presence/absence) sequential sampling have been developed (Yaninek</w:t>
      </w:r>
      <w:r w:rsidR="00F66413" w:rsidRPr="001E1601">
        <w:rPr>
          <w:lang w:val="en-GB"/>
        </w:rPr>
        <w:t>, Moraes and Markham</w:t>
      </w:r>
      <w:r w:rsidRPr="001E1601">
        <w:rPr>
          <w:lang w:val="en-GB"/>
        </w:rPr>
        <w:t xml:space="preserve">, 1989; Nachman </w:t>
      </w:r>
      <w:r w:rsidRPr="001E1601">
        <w:rPr>
          <w:i/>
          <w:iCs/>
          <w:lang w:val="en-GB"/>
        </w:rPr>
        <w:t>et al.</w:t>
      </w:r>
      <w:r w:rsidRPr="001E1601">
        <w:rPr>
          <w:lang w:val="en-GB"/>
        </w:rPr>
        <w:t xml:space="preserve">, 1993; Onzo </w:t>
      </w:r>
      <w:r w:rsidRPr="001E1601">
        <w:rPr>
          <w:i/>
          <w:iCs/>
          <w:lang w:val="en-GB"/>
        </w:rPr>
        <w:t>et al.</w:t>
      </w:r>
      <w:r w:rsidRPr="001E1601">
        <w:rPr>
          <w:lang w:val="en-GB"/>
        </w:rPr>
        <w:t>, 2005).</w:t>
      </w:r>
    </w:p>
    <w:p w14:paraId="491D02C0" w14:textId="29EBF424" w:rsidR="00171C04" w:rsidRDefault="006B4FB1" w:rsidP="00C30B5E">
      <w:pPr>
        <w:pStyle w:val="IPPParagraphnumbering"/>
        <w:tabs>
          <w:tab w:val="clear" w:pos="0"/>
        </w:tabs>
        <w:ind w:firstLine="0"/>
        <w:rPr>
          <w:lang w:val="en-GB"/>
        </w:rPr>
      </w:pPr>
      <w:r w:rsidRPr="001E1601">
        <w:rPr>
          <w:rStyle w:val="PleaseReviewParagraphId"/>
          <w:lang w:val="en-GB"/>
        </w:rPr>
        <w:t>[57]</w:t>
      </w:r>
      <w:r w:rsidR="00AB1FBF" w:rsidRPr="001E1601">
        <w:rPr>
          <w:lang w:val="en-GB"/>
        </w:rPr>
        <w:t>Other</w:t>
      </w:r>
      <w:r w:rsidRPr="001E1601">
        <w:rPr>
          <w:lang w:val="en-GB"/>
        </w:rPr>
        <w:t xml:space="preserve"> mites co-infest cassava in the Americas (principally several species in the </w:t>
      </w:r>
      <w:r w:rsidRPr="001E1601">
        <w:rPr>
          <w:i/>
          <w:lang w:val="en-GB"/>
        </w:rPr>
        <w:t>Mononychellus</w:t>
      </w:r>
      <w:r w:rsidRPr="001E1601">
        <w:rPr>
          <w:lang w:val="en-GB"/>
        </w:rPr>
        <w:t xml:space="preserve"> genus) and in Africa (principally </w:t>
      </w:r>
      <w:r w:rsidRPr="001E1601">
        <w:rPr>
          <w:i/>
          <w:lang w:val="en-GB"/>
        </w:rPr>
        <w:t>Oligonychus gossypii</w:t>
      </w:r>
      <w:r w:rsidRPr="001E1601">
        <w:rPr>
          <w:lang w:val="en-GB"/>
        </w:rPr>
        <w:t xml:space="preserve"> and rarely </w:t>
      </w:r>
      <w:r w:rsidRPr="001E1601">
        <w:rPr>
          <w:i/>
          <w:lang w:val="en-GB"/>
        </w:rPr>
        <w:t>Tetranychus urticae</w:t>
      </w:r>
      <w:r w:rsidR="00144B21" w:rsidRPr="00584267">
        <w:rPr>
          <w:iCs/>
          <w:lang w:val="en-GB"/>
        </w:rPr>
        <w:t>)</w:t>
      </w:r>
      <w:r w:rsidRPr="001E1601">
        <w:rPr>
          <w:lang w:val="en-GB"/>
        </w:rPr>
        <w:t xml:space="preserve">. In Africa, </w:t>
      </w:r>
      <w:r w:rsidRPr="001E1601">
        <w:rPr>
          <w:i/>
          <w:lang w:val="en-GB"/>
        </w:rPr>
        <w:t xml:space="preserve">O. gossypii </w:t>
      </w:r>
      <w:r w:rsidRPr="001E1601">
        <w:rPr>
          <w:lang w:val="en-GB"/>
        </w:rPr>
        <w:t xml:space="preserve">is easily distinguishable from </w:t>
      </w:r>
      <w:r w:rsidRPr="001E1601">
        <w:rPr>
          <w:i/>
          <w:lang w:val="en-GB"/>
        </w:rPr>
        <w:t>M. tanajoa</w:t>
      </w:r>
      <w:r w:rsidRPr="001E1601">
        <w:rPr>
          <w:lang w:val="en-GB"/>
        </w:rPr>
        <w:t xml:space="preserve"> by its larger size, reddish appearance</w:t>
      </w:r>
      <w:r w:rsidR="006D17A0" w:rsidRPr="001E1601">
        <w:rPr>
          <w:lang w:val="en-GB"/>
        </w:rPr>
        <w:t xml:space="preserve"> – hence the common name “red spider mite”</w:t>
      </w:r>
      <w:r w:rsidR="00362039" w:rsidRPr="001E1601">
        <w:rPr>
          <w:lang w:val="en-GB"/>
        </w:rPr>
        <w:t xml:space="preserve"> </w:t>
      </w:r>
      <w:r w:rsidR="00F51AA0" w:rsidRPr="001E1601">
        <w:rPr>
          <w:lang w:val="en-GB"/>
        </w:rPr>
        <w:t xml:space="preserve">– </w:t>
      </w:r>
      <w:r w:rsidRPr="001E1601">
        <w:rPr>
          <w:lang w:val="en-GB"/>
        </w:rPr>
        <w:t>and colonization of older leaves</w:t>
      </w:r>
      <w:r w:rsidR="006D17A0" w:rsidRPr="001E1601">
        <w:rPr>
          <w:lang w:val="en-GB"/>
        </w:rPr>
        <w:t>.</w:t>
      </w:r>
      <w:r w:rsidRPr="001E1601">
        <w:rPr>
          <w:lang w:val="en-GB"/>
        </w:rPr>
        <w:t xml:space="preserve"> </w:t>
      </w:r>
    </w:p>
    <w:p w14:paraId="1765DAFC" w14:textId="1D7A9AB2" w:rsidR="007E0008" w:rsidRPr="001E1601" w:rsidRDefault="00AB7CBC" w:rsidP="007E0008">
      <w:pPr>
        <w:pStyle w:val="IPPParagraphnumbering"/>
        <w:tabs>
          <w:tab w:val="clear" w:pos="0"/>
        </w:tabs>
        <w:ind w:firstLine="0"/>
        <w:rPr>
          <w:lang w:val="en-GB"/>
        </w:rPr>
      </w:pPr>
      <w:r>
        <w:rPr>
          <w:lang w:val="en-GB"/>
        </w:rPr>
        <w:t>Various techniques can be use</w:t>
      </w:r>
      <w:r w:rsidR="00D45D99">
        <w:rPr>
          <w:lang w:val="en-GB"/>
        </w:rPr>
        <w:t>d to collect</w:t>
      </w:r>
      <w:r w:rsidR="002608CD">
        <w:rPr>
          <w:lang w:val="en-GB"/>
        </w:rPr>
        <w:t xml:space="preserve"> spider</w:t>
      </w:r>
      <w:r w:rsidR="00D45D99">
        <w:rPr>
          <w:lang w:val="en-GB"/>
        </w:rPr>
        <w:t xml:space="preserve"> mites from plants</w:t>
      </w:r>
      <w:r w:rsidR="007D67B4">
        <w:rPr>
          <w:lang w:val="en-GB"/>
        </w:rPr>
        <w:t xml:space="preserve">. </w:t>
      </w:r>
      <w:r w:rsidR="002608CD">
        <w:rPr>
          <w:lang w:val="en-GB"/>
        </w:rPr>
        <w:t xml:space="preserve">The collected </w:t>
      </w:r>
      <w:r w:rsidR="004D061B">
        <w:rPr>
          <w:lang w:val="en-GB"/>
        </w:rPr>
        <w:t>mites ca</w:t>
      </w:r>
      <w:r w:rsidR="007E4D3B">
        <w:rPr>
          <w:lang w:val="en-GB"/>
        </w:rPr>
        <w:t xml:space="preserve">n </w:t>
      </w:r>
      <w:r w:rsidR="00213225">
        <w:rPr>
          <w:lang w:val="en-GB"/>
        </w:rPr>
        <w:t>be</w:t>
      </w:r>
      <w:r w:rsidR="004D061B">
        <w:rPr>
          <w:lang w:val="en-GB"/>
        </w:rPr>
        <w:t xml:space="preserve"> </w:t>
      </w:r>
      <w:r w:rsidR="004D061B" w:rsidRPr="004D061B">
        <w:rPr>
          <w:lang w:val="en-GB"/>
        </w:rPr>
        <w:t xml:space="preserve">prepared </w:t>
      </w:r>
      <w:r w:rsidR="004D061B">
        <w:rPr>
          <w:lang w:val="en-GB"/>
        </w:rPr>
        <w:t xml:space="preserve">immediately </w:t>
      </w:r>
      <w:r w:rsidR="004D061B" w:rsidRPr="004D061B">
        <w:rPr>
          <w:lang w:val="en-GB"/>
        </w:rPr>
        <w:t xml:space="preserve">for microscopic examination (see section 4.1) or stored in </w:t>
      </w:r>
      <w:r w:rsidR="007E0008" w:rsidRPr="001E1601">
        <w:rPr>
          <w:lang w:val="en-GB"/>
        </w:rPr>
        <w:t xml:space="preserve">small tubes containing 70% ethanol or Oudemans’ fluid (5 parts glycerine, 87 parts 70% ethanol, 8 parts glacial acetic acid) </w:t>
      </w:r>
      <w:r w:rsidR="00207249">
        <w:rPr>
          <w:lang w:val="en-GB"/>
        </w:rPr>
        <w:t xml:space="preserve">. A concentration of </w:t>
      </w:r>
      <w:r w:rsidR="007E0008" w:rsidRPr="001E1601">
        <w:rPr>
          <w:lang w:val="en-GB"/>
        </w:rPr>
        <w:t xml:space="preserve">95%–100% ethanol </w:t>
      </w:r>
      <w:r w:rsidR="00207249">
        <w:rPr>
          <w:lang w:val="en-GB"/>
        </w:rPr>
        <w:t xml:space="preserve">is </w:t>
      </w:r>
      <w:r w:rsidR="00803999">
        <w:rPr>
          <w:lang w:val="en-GB"/>
        </w:rPr>
        <w:t xml:space="preserve">needed </w:t>
      </w:r>
      <w:r w:rsidR="00336187">
        <w:rPr>
          <w:lang w:val="en-GB"/>
        </w:rPr>
        <w:t xml:space="preserve">for </w:t>
      </w:r>
      <w:r w:rsidR="00803999">
        <w:rPr>
          <w:lang w:val="en-GB"/>
        </w:rPr>
        <w:t xml:space="preserve">mites intended </w:t>
      </w:r>
      <w:r w:rsidR="007E0008" w:rsidRPr="001E1601">
        <w:rPr>
          <w:lang w:val="en-GB"/>
        </w:rPr>
        <w:t xml:space="preserve">for molecular analyses (Walter and Krantz, 2009). Both female and male adults are needed for identification with dichotomous keys (Flechtmann and de Queiroz, 2015). </w:t>
      </w:r>
    </w:p>
    <w:p w14:paraId="5A27E5E7" w14:textId="18BE8D11" w:rsidR="00AA7790" w:rsidRPr="001E1601" w:rsidRDefault="006B4FB1" w:rsidP="00C30B5E">
      <w:pPr>
        <w:pStyle w:val="IPPParagraphnumbering"/>
        <w:tabs>
          <w:tab w:val="clear" w:pos="0"/>
        </w:tabs>
        <w:ind w:firstLine="0"/>
        <w:rPr>
          <w:lang w:val="en-GB"/>
        </w:rPr>
      </w:pPr>
      <w:r w:rsidRPr="001E1601">
        <w:rPr>
          <w:rStyle w:val="PleaseReviewParagraphId"/>
          <w:lang w:val="en-GB"/>
        </w:rPr>
        <w:t>[58]</w:t>
      </w:r>
      <w:r w:rsidRPr="001E1601">
        <w:rPr>
          <w:lang w:val="en-GB"/>
        </w:rPr>
        <w:t xml:space="preserve">Mites can be collected </w:t>
      </w:r>
      <w:r w:rsidR="001A3EE5">
        <w:rPr>
          <w:lang w:val="en-GB"/>
        </w:rPr>
        <w:t xml:space="preserve">individually </w:t>
      </w:r>
      <w:r w:rsidRPr="001E1601">
        <w:rPr>
          <w:lang w:val="en-GB"/>
        </w:rPr>
        <w:t>from leaves</w:t>
      </w:r>
      <w:r w:rsidR="000B6EE6">
        <w:rPr>
          <w:lang w:val="en-GB"/>
        </w:rPr>
        <w:t>.</w:t>
      </w:r>
      <w:r w:rsidRPr="001E1601">
        <w:rPr>
          <w:lang w:val="en-GB"/>
        </w:rPr>
        <w:t xml:space="preserve"> </w:t>
      </w:r>
      <w:r w:rsidR="00774D64">
        <w:rPr>
          <w:lang w:val="en-GB"/>
        </w:rPr>
        <w:t xml:space="preserve">using </w:t>
      </w:r>
      <w:r w:rsidR="00774D64" w:rsidRPr="001E1601">
        <w:rPr>
          <w:lang w:val="en-GB"/>
        </w:rPr>
        <w:t xml:space="preserve"> </w:t>
      </w:r>
      <w:r w:rsidRPr="001E1601">
        <w:rPr>
          <w:lang w:val="en-GB"/>
        </w:rPr>
        <w:t xml:space="preserve">a </w:t>
      </w:r>
      <w:r w:rsidR="00B2739B">
        <w:rPr>
          <w:lang w:val="en-GB"/>
        </w:rPr>
        <w:t xml:space="preserve">forceps or </w:t>
      </w:r>
      <w:r w:rsidRPr="001E1601">
        <w:rPr>
          <w:lang w:val="en-GB"/>
        </w:rPr>
        <w:t>fine brush (size</w:t>
      </w:r>
      <w:r w:rsidR="00774D64">
        <w:rPr>
          <w:lang w:val="en-GB"/>
        </w:rPr>
        <w:t xml:space="preserve"> </w:t>
      </w:r>
      <w:r w:rsidR="00B2739B">
        <w:rPr>
          <w:lang w:val="en-GB"/>
        </w:rPr>
        <w:t xml:space="preserve">0) </w:t>
      </w:r>
      <w:r w:rsidR="00774D64">
        <w:rPr>
          <w:lang w:val="en-GB"/>
        </w:rPr>
        <w:t>and with the aid of a</w:t>
      </w:r>
      <w:r w:rsidR="00827BFF">
        <w:rPr>
          <w:lang w:val="en-GB"/>
        </w:rPr>
        <w:t xml:space="preserve"> hand lens</w:t>
      </w:r>
      <w:r w:rsidR="005F4821">
        <w:rPr>
          <w:lang w:val="en-GB"/>
        </w:rPr>
        <w:t xml:space="preserve"> </w:t>
      </w:r>
      <w:r w:rsidR="005F4821" w:rsidRPr="001E1601">
        <w:rPr>
          <w:lang w:val="en-GB"/>
        </w:rPr>
        <w:t>(Walter and Krantz, 2009)</w:t>
      </w:r>
    </w:p>
    <w:p w14:paraId="491D02C2" w14:textId="77777777" w:rsidR="00171C04" w:rsidRPr="001E1601" w:rsidRDefault="006B4FB1" w:rsidP="00C30B5E">
      <w:pPr>
        <w:pStyle w:val="IPPParagraphnumbering"/>
        <w:tabs>
          <w:tab w:val="clear" w:pos="0"/>
        </w:tabs>
        <w:ind w:firstLine="0"/>
        <w:rPr>
          <w:lang w:val="en-GB"/>
        </w:rPr>
      </w:pPr>
      <w:r w:rsidRPr="001E1601">
        <w:rPr>
          <w:rStyle w:val="PleaseReviewParagraphId"/>
          <w:lang w:val="en-GB"/>
        </w:rPr>
        <w:t>[59]</w:t>
      </w:r>
      <w:r w:rsidRPr="001E1601">
        <w:rPr>
          <w:lang w:val="en-GB"/>
        </w:rPr>
        <w:t>Beating the host plant is one of the most effective methods for collecting spider mites. A stick is used to vigorously beat the leaves and branches over a white tray from which the mites are picked up with a fine brush.</w:t>
      </w:r>
    </w:p>
    <w:p w14:paraId="2F299CA4" w14:textId="5A058028" w:rsidR="00FB518A" w:rsidRDefault="006B4FB1" w:rsidP="00C30B5E">
      <w:pPr>
        <w:pStyle w:val="IPPParagraphnumbering"/>
        <w:tabs>
          <w:tab w:val="clear" w:pos="0"/>
        </w:tabs>
        <w:ind w:firstLine="0"/>
        <w:rPr>
          <w:lang w:val="en-GB"/>
        </w:rPr>
      </w:pPr>
      <w:r w:rsidRPr="001E1601">
        <w:rPr>
          <w:rStyle w:val="PleaseReviewParagraphId"/>
          <w:lang w:val="en-GB"/>
        </w:rPr>
        <w:lastRenderedPageBreak/>
        <w:t>[60]</w:t>
      </w:r>
      <w:r w:rsidRPr="001E1601">
        <w:rPr>
          <w:lang w:val="en-GB"/>
        </w:rPr>
        <w:t xml:space="preserve">The washing and sieving method can also be used to collect spider mites. First, leaves or branches are dipped in 0.2–0.3% household detergent or 50–70% ethanol in a large container and stirred for a few minutes to dislodge the mites. Next, the suspension is poured into a stack of three </w:t>
      </w:r>
      <w:bookmarkStart w:id="8" w:name="_Hlk133832942"/>
      <w:r w:rsidRPr="001E1601">
        <w:rPr>
          <w:lang w:val="en-GB"/>
        </w:rPr>
        <w:t xml:space="preserve">stainless-steel </w:t>
      </w:r>
      <w:bookmarkEnd w:id="8"/>
      <w:r w:rsidRPr="001E1601">
        <w:rPr>
          <w:lang w:val="en-GB"/>
        </w:rPr>
        <w:t>sieves: 1</w:t>
      </w:r>
      <w:r w:rsidR="00554728" w:rsidRPr="001E1601">
        <w:rPr>
          <w:lang w:val="en-GB"/>
        </w:rPr>
        <w:t> </w:t>
      </w:r>
      <w:r w:rsidRPr="001E1601">
        <w:rPr>
          <w:lang w:val="en-GB"/>
        </w:rPr>
        <w:t xml:space="preserve">680 μm, 600 μm and 44 μm aperture for the top, middle and bottom sieves, respectively (modified from de Lillo, 2009). Finally, mites on the bottom sieve are </w:t>
      </w:r>
      <w:r w:rsidR="0045076C" w:rsidRPr="001E1601">
        <w:rPr>
          <w:lang w:val="en-GB"/>
        </w:rPr>
        <w:t>backwashed</w:t>
      </w:r>
      <w:r w:rsidRPr="001E1601">
        <w:rPr>
          <w:lang w:val="en-GB"/>
        </w:rPr>
        <w:t xml:space="preserve"> with 70% ethanol into a Petri dish and picked up with a fine brush. An alternative method is to immerse plant material in 50–70% ethanol, allowing the mites to sink to the bottom of the container, </w:t>
      </w:r>
      <w:r w:rsidR="007B5CD6">
        <w:rPr>
          <w:lang w:val="en-GB"/>
        </w:rPr>
        <w:t>from w</w:t>
      </w:r>
      <w:r w:rsidR="00E1620B">
        <w:rPr>
          <w:lang w:val="en-GB"/>
        </w:rPr>
        <w:t xml:space="preserve">here they can be collected with a </w:t>
      </w:r>
      <w:r w:rsidR="00006897" w:rsidRPr="001E1601">
        <w:rPr>
          <w:lang w:val="en-GB"/>
        </w:rPr>
        <w:t>pipet</w:t>
      </w:r>
      <w:r w:rsidR="0056201B" w:rsidRPr="001E1601">
        <w:rPr>
          <w:lang w:val="en-GB"/>
        </w:rPr>
        <w:t>te</w:t>
      </w:r>
      <w:r w:rsidR="00E1620B">
        <w:rPr>
          <w:lang w:val="en-GB"/>
        </w:rPr>
        <w:t xml:space="preserve">. </w:t>
      </w:r>
      <w:r w:rsidR="00006897" w:rsidRPr="001E1601">
        <w:rPr>
          <w:lang w:val="en-GB"/>
        </w:rPr>
        <w:t xml:space="preserve"> </w:t>
      </w:r>
      <w:r w:rsidR="00AF186D">
        <w:rPr>
          <w:lang w:val="en-GB"/>
        </w:rPr>
        <w:t xml:space="preserve"> </w:t>
      </w:r>
    </w:p>
    <w:p w14:paraId="491D02C4" w14:textId="21FA9777" w:rsidR="00171C04" w:rsidRPr="001E1601" w:rsidRDefault="006B4FB1" w:rsidP="00C30B5E">
      <w:pPr>
        <w:pStyle w:val="IPPParagraphnumbering"/>
        <w:tabs>
          <w:tab w:val="clear" w:pos="0"/>
        </w:tabs>
        <w:ind w:firstLine="0"/>
        <w:rPr>
          <w:lang w:val="en-GB"/>
        </w:rPr>
      </w:pPr>
      <w:r w:rsidRPr="001E1601">
        <w:rPr>
          <w:rStyle w:val="PleaseReviewParagraphId"/>
          <w:lang w:val="en-GB"/>
        </w:rPr>
        <w:t>[61]</w:t>
      </w:r>
      <w:r w:rsidRPr="001E1601">
        <w:rPr>
          <w:lang w:val="en-GB"/>
        </w:rPr>
        <w:t xml:space="preserve">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 </w:t>
      </w:r>
    </w:p>
    <w:p w14:paraId="491D02C5" w14:textId="25BCB29D" w:rsidR="00171C04" w:rsidRPr="001E1601" w:rsidRDefault="006B4FB1">
      <w:pPr>
        <w:pStyle w:val="IPPHeading1"/>
        <w:numPr>
          <w:ilvl w:val="0"/>
          <w:numId w:val="5"/>
        </w:numPr>
        <w:ind w:hanging="720"/>
      </w:pPr>
      <w:r w:rsidRPr="001E1601">
        <w:rPr>
          <w:rStyle w:val="PleaseReviewParagraphId"/>
          <w:b w:val="0"/>
        </w:rPr>
        <w:t>[</w:t>
      </w:r>
      <w:r w:rsidR="00505946" w:rsidRPr="001E1601">
        <w:rPr>
          <w:rStyle w:val="PleaseReviewParagraphId"/>
          <w:b w:val="0"/>
        </w:rPr>
        <w:t>62]</w:t>
      </w:r>
      <w:r w:rsidR="00505946" w:rsidRPr="001E1601">
        <w:t>Identification</w:t>
      </w:r>
    </w:p>
    <w:p w14:paraId="491D02C6" w14:textId="2C1C9CA5" w:rsidR="00171C04" w:rsidRPr="001E1601" w:rsidRDefault="006B4FB1" w:rsidP="00C30B5E">
      <w:pPr>
        <w:pStyle w:val="IPPParagraphnumbering"/>
        <w:tabs>
          <w:tab w:val="clear" w:pos="0"/>
        </w:tabs>
        <w:ind w:firstLine="0"/>
        <w:rPr>
          <w:bCs/>
          <w:lang w:val="en-GB"/>
        </w:rPr>
      </w:pPr>
      <w:r w:rsidRPr="001E1601">
        <w:rPr>
          <w:rStyle w:val="PleaseReviewParagraphId"/>
          <w:lang w:val="en-GB"/>
        </w:rPr>
        <w:t>[63]</w:t>
      </w:r>
      <w:r w:rsidRPr="001E1601">
        <w:rPr>
          <w:lang w:val="en-GB"/>
        </w:rPr>
        <w:t xml:space="preserve">Identification of spider mites in the </w:t>
      </w:r>
      <w:r w:rsidRPr="001E1601">
        <w:rPr>
          <w:i/>
          <w:iCs/>
          <w:lang w:val="en-GB"/>
        </w:rPr>
        <w:t>Mononychellus</w:t>
      </w:r>
      <w:r w:rsidRPr="001E1601">
        <w:rPr>
          <w:lang w:val="en-GB"/>
        </w:rPr>
        <w:t xml:space="preserve"> genus has traditionally been based on microscopic morphological characters. Adult female and male specimens must be mounted on slides and examined using a high-power microscope (e.g. ×400–1000). Morphological </w:t>
      </w:r>
      <w:r w:rsidR="005517D9" w:rsidRPr="001E1601">
        <w:rPr>
          <w:lang w:val="en-GB"/>
        </w:rPr>
        <w:t>character</w:t>
      </w:r>
      <w:r w:rsidR="00A5643A" w:rsidRPr="001E1601">
        <w:rPr>
          <w:lang w:val="en-GB"/>
        </w:rPr>
        <w:t>s</w:t>
      </w:r>
      <w:r w:rsidRPr="001E1601">
        <w:rPr>
          <w:lang w:val="en-GB"/>
        </w:rPr>
        <w:t xml:space="preserve"> are best observed with a compound microscope using either differential interference contrast or phase contrast. Features of the adult body are illustrated and labelled in Figure 3</w:t>
      </w:r>
      <w:r w:rsidR="0089317E" w:rsidRPr="001E1601">
        <w:rPr>
          <w:lang w:val="en-GB"/>
        </w:rPr>
        <w:t xml:space="preserve"> to Figure </w:t>
      </w:r>
      <w:r w:rsidRPr="001E1601">
        <w:rPr>
          <w:lang w:val="en-GB"/>
        </w:rPr>
        <w:t xml:space="preserve">8. Keys for the morphological </w:t>
      </w:r>
      <w:r w:rsidR="00857CE7" w:rsidRPr="001E1601">
        <w:rPr>
          <w:lang w:val="en-GB"/>
        </w:rPr>
        <w:t xml:space="preserve">species </w:t>
      </w:r>
      <w:r w:rsidRPr="001E1601">
        <w:rPr>
          <w:lang w:val="en-GB"/>
        </w:rPr>
        <w:t xml:space="preserve">identification of immature stages of </w:t>
      </w:r>
      <w:r w:rsidRPr="001E1601">
        <w:rPr>
          <w:i/>
          <w:iCs/>
          <w:lang w:val="en-GB"/>
        </w:rPr>
        <w:t>Mononychellus</w:t>
      </w:r>
      <w:r w:rsidRPr="001E1601">
        <w:rPr>
          <w:lang w:val="en-GB"/>
        </w:rPr>
        <w:t xml:space="preserve"> are not available</w:t>
      </w:r>
      <w:r w:rsidRPr="001E1601">
        <w:rPr>
          <w:szCs w:val="22"/>
          <w:lang w:val="en-GB"/>
        </w:rPr>
        <w:t>.</w:t>
      </w:r>
    </w:p>
    <w:p w14:paraId="491D02C7" w14:textId="4118EDDB" w:rsidR="00171C04" w:rsidRPr="001E1601" w:rsidRDefault="006B4FB1" w:rsidP="00C30B5E">
      <w:pPr>
        <w:pStyle w:val="IPPParagraphnumbering"/>
        <w:tabs>
          <w:tab w:val="clear" w:pos="0"/>
        </w:tabs>
        <w:ind w:firstLine="0"/>
        <w:rPr>
          <w:bCs/>
          <w:lang w:val="en-GB"/>
        </w:rPr>
      </w:pPr>
      <w:r w:rsidRPr="001E1601">
        <w:rPr>
          <w:rStyle w:val="PleaseReviewParagraphId"/>
          <w:lang w:val="en-GB"/>
        </w:rPr>
        <w:t>[64]</w:t>
      </w:r>
      <w:bookmarkStart w:id="9" w:name="_Hlk100585625"/>
      <w:r w:rsidRPr="001E1601">
        <w:rPr>
          <w:szCs w:val="22"/>
          <w:lang w:val="en-GB"/>
        </w:rPr>
        <w:t>DNA sequencing of a barcoding fragment of the cytochrome c oxidase subunit I (</w:t>
      </w:r>
      <w:r w:rsidRPr="001E1601">
        <w:rPr>
          <w:i/>
          <w:szCs w:val="22"/>
          <w:lang w:val="en-GB"/>
        </w:rPr>
        <w:t>COI</w:t>
      </w:r>
      <w:r w:rsidRPr="001E1601">
        <w:rPr>
          <w:szCs w:val="22"/>
          <w:lang w:val="en-GB"/>
        </w:rPr>
        <w:t>) can support identification</w:t>
      </w:r>
      <w:r w:rsidR="00611F81" w:rsidRPr="001E1601">
        <w:rPr>
          <w:szCs w:val="22"/>
          <w:lang w:val="en-GB"/>
        </w:rPr>
        <w:t xml:space="preserve"> but </w:t>
      </w:r>
      <w:r w:rsidR="00126759" w:rsidRPr="001E1601">
        <w:rPr>
          <w:szCs w:val="22"/>
          <w:lang w:val="en-GB"/>
        </w:rPr>
        <w:t>can</w:t>
      </w:r>
      <w:r w:rsidR="00611F81" w:rsidRPr="001E1601">
        <w:rPr>
          <w:szCs w:val="22"/>
          <w:lang w:val="en-GB"/>
        </w:rPr>
        <w:t xml:space="preserve">not </w:t>
      </w:r>
      <w:r w:rsidR="003A2032" w:rsidRPr="001E1601">
        <w:rPr>
          <w:szCs w:val="22"/>
          <w:lang w:val="en-GB"/>
        </w:rPr>
        <w:t>provide</w:t>
      </w:r>
      <w:r w:rsidR="00611F81" w:rsidRPr="001E1601">
        <w:rPr>
          <w:szCs w:val="22"/>
          <w:lang w:val="en-GB"/>
        </w:rPr>
        <w:t xml:space="preserve"> confirmatory diagnosis</w:t>
      </w:r>
      <w:r w:rsidR="00ED6209" w:rsidRPr="001E1601">
        <w:rPr>
          <w:szCs w:val="22"/>
          <w:lang w:val="en-GB"/>
        </w:rPr>
        <w:t>,</w:t>
      </w:r>
      <w:r w:rsidR="00611F81" w:rsidRPr="001E1601">
        <w:rPr>
          <w:szCs w:val="22"/>
          <w:lang w:val="en-GB"/>
        </w:rPr>
        <w:t xml:space="preserve"> </w:t>
      </w:r>
      <w:r w:rsidR="00ED6209" w:rsidRPr="001E1601">
        <w:rPr>
          <w:szCs w:val="22"/>
          <w:lang w:val="en-GB"/>
        </w:rPr>
        <w:t>as</w:t>
      </w:r>
      <w:r w:rsidRPr="001E1601">
        <w:rPr>
          <w:szCs w:val="22"/>
          <w:lang w:val="en-GB"/>
        </w:rPr>
        <w:t xml:space="preserve"> </w:t>
      </w:r>
      <w:r w:rsidR="00ED6209" w:rsidRPr="001E1601">
        <w:rPr>
          <w:szCs w:val="22"/>
          <w:lang w:val="en-GB"/>
        </w:rPr>
        <w:t xml:space="preserve">only </w:t>
      </w:r>
      <w:r w:rsidR="00611F81" w:rsidRPr="001E1601">
        <w:rPr>
          <w:szCs w:val="22"/>
          <w:lang w:val="en-GB"/>
        </w:rPr>
        <w:t xml:space="preserve">limited </w:t>
      </w:r>
      <w:r w:rsidRPr="001E1601">
        <w:rPr>
          <w:szCs w:val="22"/>
          <w:lang w:val="en-GB"/>
        </w:rPr>
        <w:t xml:space="preserve">sequences of </w:t>
      </w:r>
      <w:r w:rsidRPr="001E1601">
        <w:rPr>
          <w:i/>
          <w:szCs w:val="22"/>
          <w:lang w:val="en-GB"/>
        </w:rPr>
        <w:t xml:space="preserve">M. tanajoa </w:t>
      </w:r>
      <w:r w:rsidRPr="001E1601">
        <w:rPr>
          <w:iCs/>
          <w:szCs w:val="22"/>
          <w:lang w:val="en-GB"/>
        </w:rPr>
        <w:t>and</w:t>
      </w:r>
      <w:r w:rsidRPr="001E1601">
        <w:rPr>
          <w:szCs w:val="22"/>
          <w:lang w:val="en-GB"/>
        </w:rPr>
        <w:t xml:space="preserve"> of some closely related cassava</w:t>
      </w:r>
      <w:r w:rsidRPr="001E1601">
        <w:rPr>
          <w:i/>
          <w:szCs w:val="22"/>
          <w:lang w:val="en-GB"/>
        </w:rPr>
        <w:t xml:space="preserve"> Mononychellus</w:t>
      </w:r>
      <w:r w:rsidRPr="001E1601">
        <w:rPr>
          <w:szCs w:val="22"/>
          <w:lang w:val="en-GB"/>
        </w:rPr>
        <w:t xml:space="preserve"> species (</w:t>
      </w:r>
      <w:r w:rsidRPr="001E1601">
        <w:rPr>
          <w:i/>
          <w:iCs/>
          <w:szCs w:val="22"/>
          <w:lang w:val="en-GB"/>
        </w:rPr>
        <w:t>M. </w:t>
      </w:r>
      <w:r w:rsidRPr="001E1601">
        <w:rPr>
          <w:i/>
          <w:szCs w:val="22"/>
          <w:lang w:val="en-GB"/>
        </w:rPr>
        <w:t>caribbeanae</w:t>
      </w:r>
      <w:r w:rsidRPr="001E1601">
        <w:rPr>
          <w:szCs w:val="22"/>
          <w:lang w:val="en-GB"/>
        </w:rPr>
        <w:t xml:space="preserve">, </w:t>
      </w:r>
      <w:r w:rsidRPr="001E1601">
        <w:rPr>
          <w:i/>
          <w:szCs w:val="22"/>
          <w:lang w:val="en-GB"/>
        </w:rPr>
        <w:t>M. progresivus</w:t>
      </w:r>
      <w:r w:rsidRPr="001E1601">
        <w:rPr>
          <w:szCs w:val="22"/>
          <w:lang w:val="en-GB"/>
        </w:rPr>
        <w:t xml:space="preserve"> and </w:t>
      </w:r>
      <w:r w:rsidRPr="001E1601">
        <w:rPr>
          <w:i/>
          <w:szCs w:val="22"/>
          <w:lang w:val="en-GB"/>
        </w:rPr>
        <w:t>M. mcgregori</w:t>
      </w:r>
      <w:r w:rsidRPr="001E1601">
        <w:rPr>
          <w:szCs w:val="22"/>
          <w:lang w:val="en-GB"/>
        </w:rPr>
        <w:t>) are available in the GenBank public database (a National Center for Biotechnology Information database)</w:t>
      </w:r>
      <w:r w:rsidR="00611F81" w:rsidRPr="001E1601">
        <w:rPr>
          <w:i/>
          <w:szCs w:val="22"/>
          <w:lang w:val="en-GB"/>
        </w:rPr>
        <w:t xml:space="preserve"> </w:t>
      </w:r>
      <w:r w:rsidRPr="001E1601">
        <w:rPr>
          <w:szCs w:val="22"/>
          <w:lang w:val="en-GB"/>
        </w:rPr>
        <w:t xml:space="preserve">(Ovalle </w:t>
      </w:r>
      <w:r w:rsidRPr="001E1601">
        <w:rPr>
          <w:i/>
          <w:iCs/>
          <w:szCs w:val="22"/>
          <w:lang w:val="en-GB"/>
        </w:rPr>
        <w:t>et</w:t>
      </w:r>
      <w:r w:rsidRPr="001E1601">
        <w:rPr>
          <w:i/>
          <w:iCs/>
          <w:lang w:val="en-GB"/>
        </w:rPr>
        <w:t> </w:t>
      </w:r>
      <w:r w:rsidRPr="001E1601">
        <w:rPr>
          <w:i/>
          <w:iCs/>
          <w:szCs w:val="22"/>
          <w:lang w:val="en-GB"/>
        </w:rPr>
        <w:t>al</w:t>
      </w:r>
      <w:r w:rsidRPr="001E1601">
        <w:rPr>
          <w:szCs w:val="22"/>
          <w:lang w:val="en-GB"/>
        </w:rPr>
        <w:t>., 2020)</w:t>
      </w:r>
      <w:r w:rsidRPr="001E1601">
        <w:rPr>
          <w:i/>
          <w:szCs w:val="22"/>
          <w:lang w:val="en-GB"/>
        </w:rPr>
        <w:t>.</w:t>
      </w:r>
    </w:p>
    <w:p w14:paraId="491D02C8" w14:textId="77777777" w:rsidR="00171C04" w:rsidRPr="001E1601" w:rsidRDefault="006B4FB1">
      <w:pPr>
        <w:pStyle w:val="IPPHeading2"/>
      </w:pPr>
      <w:r w:rsidRPr="001E1601">
        <w:rPr>
          <w:rStyle w:val="PleaseReviewParagraphId"/>
          <w:b w:val="0"/>
        </w:rPr>
        <w:t>[65]</w:t>
      </w:r>
      <w:bookmarkStart w:id="10" w:name="_Hlk95740705"/>
      <w:bookmarkEnd w:id="9"/>
      <w:r w:rsidRPr="001E1601">
        <w:t>4.1</w:t>
      </w:r>
      <w:r w:rsidRPr="001E1601">
        <w:tab/>
        <w:t>Preparation of specimens for microscopic examination</w:t>
      </w:r>
      <w:bookmarkStart w:id="11" w:name="_Hlk64130131"/>
      <w:bookmarkEnd w:id="10"/>
      <w:bookmarkEnd w:id="11"/>
    </w:p>
    <w:p w14:paraId="491D02C9" w14:textId="04595766" w:rsidR="00171C04" w:rsidRPr="001E1601" w:rsidRDefault="006B4FB1" w:rsidP="00C30B5E">
      <w:pPr>
        <w:pStyle w:val="IPPParagraphnumbering"/>
        <w:tabs>
          <w:tab w:val="clear" w:pos="0"/>
        </w:tabs>
        <w:ind w:firstLine="0"/>
        <w:rPr>
          <w:lang w:val="en-GB"/>
        </w:rPr>
      </w:pPr>
      <w:r w:rsidRPr="001E1601">
        <w:rPr>
          <w:rStyle w:val="PleaseReviewParagraphId"/>
          <w:lang w:val="en-GB"/>
        </w:rPr>
        <w:t>[66]</w:t>
      </w:r>
      <w:bookmarkStart w:id="12" w:name="_Hlk100660570"/>
      <w:bookmarkStart w:id="13" w:name="_Hlk95740936"/>
      <w:r w:rsidRPr="001E1601">
        <w:rPr>
          <w:lang w:val="en-GB"/>
        </w:rPr>
        <w:t xml:space="preserve">Mites need to be </w:t>
      </w:r>
      <w:r w:rsidR="007E3875">
        <w:rPr>
          <w:lang w:val="en-GB"/>
        </w:rPr>
        <w:t xml:space="preserve">properly prepared </w:t>
      </w:r>
      <w:r w:rsidRPr="001E1601">
        <w:rPr>
          <w:lang w:val="en-GB"/>
        </w:rPr>
        <w:t xml:space="preserve"> for morphological examination. </w:t>
      </w:r>
      <w:r w:rsidR="003A0DB5">
        <w:rPr>
          <w:lang w:val="en-GB"/>
        </w:rPr>
        <w:t>Ma</w:t>
      </w:r>
      <w:r w:rsidR="001158D0">
        <w:rPr>
          <w:lang w:val="en-GB"/>
        </w:rPr>
        <w:t>ceration</w:t>
      </w:r>
      <w:r w:rsidR="0097333B">
        <w:rPr>
          <w:lang w:val="en-GB"/>
        </w:rPr>
        <w:t xml:space="preserve"> </w:t>
      </w:r>
      <w:r w:rsidR="005615A1">
        <w:rPr>
          <w:lang w:val="en-GB"/>
        </w:rPr>
        <w:t>dissolve</w:t>
      </w:r>
      <w:r w:rsidR="007D0B4B">
        <w:rPr>
          <w:lang w:val="en-GB"/>
        </w:rPr>
        <w:t xml:space="preserve">s </w:t>
      </w:r>
      <w:r w:rsidR="0070765C">
        <w:rPr>
          <w:lang w:val="en-GB"/>
        </w:rPr>
        <w:t>internal tissues</w:t>
      </w:r>
      <w:r w:rsidR="00F36123">
        <w:rPr>
          <w:lang w:val="en-GB"/>
        </w:rPr>
        <w:t>,</w:t>
      </w:r>
      <w:r w:rsidR="0070765C">
        <w:rPr>
          <w:lang w:val="en-GB"/>
        </w:rPr>
        <w:t xml:space="preserve"> </w:t>
      </w:r>
      <w:r w:rsidR="00543679">
        <w:rPr>
          <w:lang w:val="en-GB"/>
        </w:rPr>
        <w:t xml:space="preserve">increasing </w:t>
      </w:r>
      <w:r w:rsidR="00F36123">
        <w:rPr>
          <w:lang w:val="en-GB"/>
        </w:rPr>
        <w:t>transparency</w:t>
      </w:r>
      <w:r w:rsidR="00CA27E5">
        <w:rPr>
          <w:lang w:val="en-GB"/>
        </w:rPr>
        <w:t xml:space="preserve"> and </w:t>
      </w:r>
      <w:r w:rsidR="000A4706">
        <w:rPr>
          <w:lang w:val="en-GB"/>
        </w:rPr>
        <w:t>softening</w:t>
      </w:r>
      <w:r w:rsidR="00343223">
        <w:rPr>
          <w:lang w:val="en-GB"/>
        </w:rPr>
        <w:t xml:space="preserve"> the cuticle</w:t>
      </w:r>
      <w:r w:rsidR="000A4706">
        <w:rPr>
          <w:lang w:val="en-GB"/>
        </w:rPr>
        <w:t xml:space="preserve">. </w:t>
      </w:r>
      <w:r w:rsidR="00551107">
        <w:rPr>
          <w:lang w:val="en-GB"/>
        </w:rPr>
        <w:t>This c</w:t>
      </w:r>
      <w:r w:rsidRPr="001E1601">
        <w:rPr>
          <w:lang w:val="en-GB"/>
        </w:rPr>
        <w:t xml:space="preserve">learing can be </w:t>
      </w:r>
      <w:r w:rsidR="007F37F2" w:rsidRPr="001E1601">
        <w:rPr>
          <w:lang w:val="en-GB"/>
        </w:rPr>
        <w:t>achieved</w:t>
      </w:r>
      <w:r w:rsidR="00D53356" w:rsidRPr="001E1601">
        <w:rPr>
          <w:lang w:val="en-GB"/>
        </w:rPr>
        <w:t xml:space="preserve"> </w:t>
      </w:r>
      <w:r w:rsidRPr="001E1601">
        <w:rPr>
          <w:lang w:val="en-GB"/>
        </w:rPr>
        <w:t>by submerging the specimen in</w:t>
      </w:r>
      <w:r w:rsidR="39225D59" w:rsidRPr="001E1601">
        <w:rPr>
          <w:lang w:val="en-GB"/>
        </w:rPr>
        <w:t xml:space="preserve"> </w:t>
      </w:r>
      <w:r w:rsidR="003537ED" w:rsidRPr="001E1601">
        <w:rPr>
          <w:lang w:val="en-GB"/>
        </w:rPr>
        <w:t>60</w:t>
      </w:r>
      <w:r w:rsidR="00803D58" w:rsidRPr="001E1601">
        <w:rPr>
          <w:lang w:val="en-GB"/>
        </w:rPr>
        <w:t>–</w:t>
      </w:r>
      <w:r w:rsidR="003537ED" w:rsidRPr="001E1601">
        <w:rPr>
          <w:lang w:val="en-GB"/>
        </w:rPr>
        <w:t>95</w:t>
      </w:r>
      <w:r w:rsidRPr="001E1601">
        <w:rPr>
          <w:lang w:val="en-GB"/>
        </w:rPr>
        <w:t>% lactic acid</w:t>
      </w:r>
      <w:bookmarkEnd w:id="12"/>
      <w:r w:rsidRPr="001E1601">
        <w:rPr>
          <w:lang w:val="en-GB"/>
        </w:rPr>
        <w:t xml:space="preserve"> </w:t>
      </w:r>
      <w:bookmarkEnd w:id="13"/>
      <w:r w:rsidRPr="001E1601">
        <w:rPr>
          <w:lang w:val="en-GB"/>
        </w:rPr>
        <w:t xml:space="preserve">(suitable for recently collected specimens) or Nesbitt’s fluid (chloral hydrate 40 g, concentrated HCl (12 M) 2.5 mL, distilled water 25 mL, suitable for old alcohol-preserved specimens). The clearing process varies from specimen to specimen. It is advisable to check occasionally until the specimens become translucent. </w:t>
      </w:r>
      <w:r w:rsidR="00992BC9" w:rsidRPr="001E1601">
        <w:rPr>
          <w:lang w:val="en-GB"/>
        </w:rPr>
        <w:t>Gentle heating in an oven or hot plate at 45</w:t>
      </w:r>
      <w:r w:rsidR="00E83DD0" w:rsidRPr="001E1601">
        <w:rPr>
          <w:lang w:val="en-GB"/>
        </w:rPr>
        <w:t> </w:t>
      </w:r>
      <w:r w:rsidR="00992BC9" w:rsidRPr="001E1601">
        <w:rPr>
          <w:lang w:val="en-GB"/>
        </w:rPr>
        <w:t>°C can accelerate maceration</w:t>
      </w:r>
      <w:r w:rsidR="003B4BA1">
        <w:rPr>
          <w:lang w:val="en-GB"/>
        </w:rPr>
        <w:t xml:space="preserve">. </w:t>
      </w:r>
      <w:r w:rsidR="00992BC9" w:rsidRPr="001E1601">
        <w:rPr>
          <w:lang w:val="en-GB"/>
        </w:rPr>
        <w:t>Specimens</w:t>
      </w:r>
      <w:r w:rsidRPr="001E1601">
        <w:rPr>
          <w:lang w:val="en-GB"/>
        </w:rPr>
        <w:t xml:space="preserve"> are mounted in Hoyer’s medium (chloral hydrate 200 g, crystalline gum arabic 30 g, glycerol 20 mL, distilled water 50 mL) or in Heinze-PVA medium (chloral hydrate 100 g, glycerol 10 mL, polyvinyl alcohol 10 g, distilled water 60 mL, 85–92% lactic acid 35 mL). Adult females are mounted dorsoventrally, but adult males should be mounted laterally to display the taxonomically informative characters of the aedeagus (male genitalia). The male specimens can be mounted as </w:t>
      </w:r>
      <w:r w:rsidR="00940FA5" w:rsidRPr="001E1601">
        <w:rPr>
          <w:lang w:val="en-GB"/>
        </w:rPr>
        <w:t xml:space="preserve">described by </w:t>
      </w:r>
      <w:r w:rsidRPr="001E1601">
        <w:rPr>
          <w:lang w:val="en-GB"/>
        </w:rPr>
        <w:t xml:space="preserve">Henderson (2001) or repositioned laterally by gently pushing the coverslip to one side. Slides are labelled with the collection data (i.e. an accession number, locality, </w:t>
      </w:r>
      <w:r w:rsidR="004A4E93" w:rsidRPr="001E1601">
        <w:rPr>
          <w:lang w:val="en-GB"/>
        </w:rPr>
        <w:t>host, collector</w:t>
      </w:r>
      <w:r w:rsidRPr="001E1601">
        <w:rPr>
          <w:lang w:val="en-GB"/>
        </w:rPr>
        <w:t xml:space="preserve"> and collection date) and then put on a hot plate at 70 °C for 20 minutes before identification. </w:t>
      </w:r>
      <w:r w:rsidR="00D57748" w:rsidRPr="001E1601">
        <w:rPr>
          <w:lang w:val="en-GB"/>
        </w:rPr>
        <w:t>If immersion objectives are to be used, a</w:t>
      </w:r>
      <w:r w:rsidRPr="001E1601">
        <w:rPr>
          <w:lang w:val="en-GB"/>
        </w:rPr>
        <w:t xml:space="preserve"> longer heating time (24</w:t>
      </w:r>
      <w:r w:rsidR="003F06A1" w:rsidRPr="001E1601">
        <w:rPr>
          <w:lang w:val="en-GB"/>
        </w:rPr>
        <w:t> </w:t>
      </w:r>
      <w:r w:rsidRPr="001E1601">
        <w:rPr>
          <w:lang w:val="en-GB"/>
        </w:rPr>
        <w:t xml:space="preserve">h) on the hot plate is required to ensure the slides are completely stable. If the specimens are to be retained following identification (see section 5), the identified specimens are placed in an oven </w:t>
      </w:r>
      <w:r w:rsidR="00D045C8" w:rsidRPr="001E1601">
        <w:rPr>
          <w:lang w:val="en-GB"/>
        </w:rPr>
        <w:t>at 45</w:t>
      </w:r>
      <w:r w:rsidR="00E83DD0" w:rsidRPr="001E1601">
        <w:rPr>
          <w:lang w:val="en-GB"/>
        </w:rPr>
        <w:t>–</w:t>
      </w:r>
      <w:r w:rsidRPr="001E1601">
        <w:rPr>
          <w:lang w:val="en-GB"/>
        </w:rPr>
        <w:t>50</w:t>
      </w:r>
      <w:r w:rsidR="00E83DD0" w:rsidRPr="001E1601">
        <w:rPr>
          <w:lang w:val="en-GB"/>
        </w:rPr>
        <w:t> </w:t>
      </w:r>
      <w:r w:rsidRPr="001E1601">
        <w:rPr>
          <w:lang w:val="en-GB"/>
        </w:rPr>
        <w:t xml:space="preserve">°C for a few weeks until the medium is dry. For long-term storage, specimens mounted in Hoyer’s medium on microscope slides should be sealed with a </w:t>
      </w:r>
      <w:r w:rsidR="00D045C8" w:rsidRPr="001E1601">
        <w:rPr>
          <w:lang w:val="en-GB"/>
        </w:rPr>
        <w:t xml:space="preserve">sealant </w:t>
      </w:r>
      <w:r w:rsidRPr="001E1601">
        <w:rPr>
          <w:lang w:val="en-GB"/>
        </w:rPr>
        <w:t>(e.g. </w:t>
      </w:r>
      <w:r w:rsidR="007A5088" w:rsidRPr="00584267">
        <w:rPr>
          <w:lang w:val="en-GB"/>
        </w:rPr>
        <w:t>Glyptal®</w:t>
      </w:r>
      <w:r w:rsidR="00D9550A" w:rsidRPr="001E1601">
        <w:rPr>
          <w:lang w:val="en-GB"/>
        </w:rPr>
        <w:t xml:space="preserve"> electrical insulating sealant</w:t>
      </w:r>
      <w:r w:rsidR="00061757" w:rsidRPr="001E1601">
        <w:rPr>
          <w:lang w:val="en-GB"/>
        </w:rPr>
        <w:t xml:space="preserve"> or </w:t>
      </w:r>
      <w:r w:rsidR="00061757" w:rsidRPr="001E1601">
        <w:rPr>
          <w:lang w:val="en-GB"/>
        </w:rPr>
        <w:lastRenderedPageBreak/>
        <w:t>Euparol</w:t>
      </w:r>
      <w:r w:rsidR="00762590" w:rsidRPr="001E1601">
        <w:rPr>
          <w:lang w:val="en-GB"/>
        </w:rPr>
        <w:t>)</w:t>
      </w:r>
      <w:r w:rsidR="00C02170" w:rsidRPr="001E1601">
        <w:rPr>
          <w:lang w:val="en-GB"/>
        </w:rPr>
        <w:t xml:space="preserve"> to</w:t>
      </w:r>
      <w:r w:rsidR="005752F5" w:rsidRPr="001E1601">
        <w:rPr>
          <w:lang w:val="en-GB"/>
        </w:rPr>
        <w:t xml:space="preserve"> prevent water from entering or leaving the mount.</w:t>
      </w:r>
      <w:bookmarkStart w:id="14" w:name="_Ref133781104"/>
      <w:r w:rsidR="00E87C79" w:rsidRPr="001E1601">
        <w:rPr>
          <w:rStyle w:val="FootnoteReference"/>
          <w:lang w:val="en-GB"/>
        </w:rPr>
        <w:footnoteReference w:id="2"/>
      </w:r>
      <w:bookmarkEnd w:id="14"/>
      <w:r w:rsidR="005752F5" w:rsidRPr="001E1601">
        <w:rPr>
          <w:lang w:val="en-GB"/>
        </w:rPr>
        <w:t xml:space="preserve"> </w:t>
      </w:r>
      <w:r w:rsidR="003D4846" w:rsidRPr="001E1601">
        <w:rPr>
          <w:lang w:val="en-GB"/>
        </w:rPr>
        <w:t>Nail polish can be used for short-term storage</w:t>
      </w:r>
      <w:r w:rsidR="005223F5" w:rsidRPr="001E1601">
        <w:rPr>
          <w:lang w:val="en-GB"/>
        </w:rPr>
        <w:t xml:space="preserve"> but </w:t>
      </w:r>
      <w:r w:rsidR="003D4846" w:rsidRPr="001E1601">
        <w:rPr>
          <w:lang w:val="en-GB"/>
        </w:rPr>
        <w:t>is susceptible to cracking and may dissolve in substances used to clean slides.</w:t>
      </w:r>
      <w:r w:rsidR="00BD7089" w:rsidRPr="001E1601">
        <w:rPr>
          <w:lang w:val="en-GB"/>
        </w:rPr>
        <w:t xml:space="preserve"> </w:t>
      </w:r>
      <w:r w:rsidRPr="001E1601">
        <w:rPr>
          <w:lang w:val="en-GB"/>
        </w:rPr>
        <w:t>Detailed methods for mite specimen preparation and mounting are available in Walter and Krantz (2009).</w:t>
      </w:r>
    </w:p>
    <w:p w14:paraId="491D02CA" w14:textId="77777777" w:rsidR="00171C04" w:rsidRPr="001E1601" w:rsidRDefault="006B4FB1">
      <w:pPr>
        <w:pStyle w:val="IPPHeading2"/>
      </w:pPr>
      <w:r w:rsidRPr="001E1601">
        <w:rPr>
          <w:rStyle w:val="PleaseReviewParagraphId"/>
          <w:b w:val="0"/>
        </w:rPr>
        <w:t>[68]</w:t>
      </w:r>
      <w:r w:rsidRPr="001E1601">
        <w:t>4.2</w:t>
      </w:r>
      <w:r w:rsidRPr="001E1601">
        <w:tab/>
        <w:t>Morphological characters of the family Tetranychidae</w:t>
      </w:r>
    </w:p>
    <w:p w14:paraId="491D02CB" w14:textId="3A402975" w:rsidR="00171C04" w:rsidRPr="001E1601" w:rsidRDefault="006B4FB1" w:rsidP="00C30B5E">
      <w:pPr>
        <w:pStyle w:val="IPPParagraphnumberingclose"/>
        <w:tabs>
          <w:tab w:val="clear" w:pos="0"/>
        </w:tabs>
        <w:ind w:firstLine="0"/>
        <w:rPr>
          <w:lang w:val="en-GB"/>
        </w:rPr>
      </w:pPr>
      <w:r w:rsidRPr="001E1601">
        <w:rPr>
          <w:rStyle w:val="PleaseReviewParagraphId"/>
          <w:lang w:val="en-GB"/>
        </w:rPr>
        <w:t>[69]</w:t>
      </w:r>
      <w:bookmarkStart w:id="15" w:name="_Hlk51766267"/>
      <w:r w:rsidRPr="001E1601">
        <w:rPr>
          <w:lang w:val="en-GB"/>
        </w:rPr>
        <w:t xml:space="preserve">The </w:t>
      </w:r>
      <w:bookmarkEnd w:id="15"/>
      <w:r w:rsidRPr="001E1601">
        <w:rPr>
          <w:lang w:val="en-GB"/>
        </w:rPr>
        <w:t>spider mite family Tetranychidae includes more than 1</w:t>
      </w:r>
      <w:r w:rsidR="00E7534F" w:rsidRPr="001E1601">
        <w:rPr>
          <w:lang w:val="en-GB"/>
        </w:rPr>
        <w:t> </w:t>
      </w:r>
      <w:r w:rsidRPr="001E1601">
        <w:rPr>
          <w:lang w:val="en-GB"/>
        </w:rPr>
        <w:t>300 species in 86 genera (Migeon and Dorkeld, 2021). Various keys to separate Tetranychidae from other families are available in general acarological references (</w:t>
      </w:r>
      <w:r w:rsidR="00C70202" w:rsidRPr="001E1601">
        <w:rPr>
          <w:lang w:val="en-GB"/>
        </w:rPr>
        <w:t>e.g.</w:t>
      </w:r>
      <w:r w:rsidR="00E47E19" w:rsidRPr="001E1601">
        <w:rPr>
          <w:lang w:val="en-GB"/>
        </w:rPr>
        <w:t> </w:t>
      </w:r>
      <w:r w:rsidRPr="001E1601">
        <w:rPr>
          <w:lang w:val="en-GB"/>
        </w:rPr>
        <w:t xml:space="preserve">Walter </w:t>
      </w:r>
      <w:r w:rsidRPr="001E1601">
        <w:rPr>
          <w:i/>
          <w:lang w:val="en-GB"/>
        </w:rPr>
        <w:t>et al.</w:t>
      </w:r>
      <w:r w:rsidRPr="001E1601">
        <w:rPr>
          <w:lang w:val="en-GB"/>
        </w:rPr>
        <w:t xml:space="preserve">, 2009). Species of this family share the following </w:t>
      </w:r>
      <w:r w:rsidR="006F60F6" w:rsidRPr="001E1601">
        <w:rPr>
          <w:lang w:val="en-GB"/>
        </w:rPr>
        <w:t>characteristics</w:t>
      </w:r>
      <w:r w:rsidRPr="001E1601">
        <w:rPr>
          <w:lang w:val="en-GB"/>
        </w:rPr>
        <w:t>:</w:t>
      </w:r>
    </w:p>
    <w:p w14:paraId="491D02CC" w14:textId="33854BE4" w:rsidR="00171C04" w:rsidRPr="001E1601" w:rsidRDefault="006B4FB1">
      <w:pPr>
        <w:pStyle w:val="IPPBullet1"/>
        <w:rPr>
          <w:lang w:val="en-GB"/>
        </w:rPr>
      </w:pPr>
      <w:r w:rsidRPr="001E1601">
        <w:rPr>
          <w:rStyle w:val="PleaseReviewParagraphId"/>
          <w:lang w:val="en-GB"/>
        </w:rPr>
        <w:t>[70]</w:t>
      </w:r>
      <w:r w:rsidRPr="001E1601">
        <w:rPr>
          <w:lang w:val="en-GB"/>
        </w:rPr>
        <w:t>dorsal propodosoma without bothridia (Figure 3</w:t>
      </w:r>
      <w:r w:rsidR="00B352EA" w:rsidRPr="001E1601">
        <w:rPr>
          <w:lang w:val="en-GB"/>
        </w:rPr>
        <w:t>A</w:t>
      </w:r>
      <w:r w:rsidRPr="001E1601">
        <w:rPr>
          <w:lang w:val="en-GB"/>
        </w:rPr>
        <w:t>);</w:t>
      </w:r>
    </w:p>
    <w:p w14:paraId="491D02CD" w14:textId="69A794F3" w:rsidR="00171C04" w:rsidRPr="001E1601" w:rsidRDefault="006B4FB1">
      <w:pPr>
        <w:pStyle w:val="IPPBullet1"/>
        <w:rPr>
          <w:lang w:val="en-GB"/>
        </w:rPr>
      </w:pPr>
      <w:r w:rsidRPr="001E1601">
        <w:rPr>
          <w:rStyle w:val="PleaseReviewParagraphId"/>
          <w:lang w:val="en-GB"/>
        </w:rPr>
        <w:t>[71]</w:t>
      </w:r>
      <w:r w:rsidRPr="001E1601">
        <w:rPr>
          <w:lang w:val="en-GB"/>
        </w:rPr>
        <w:t xml:space="preserve">hysterosoma with </w:t>
      </w:r>
      <w:r w:rsidR="00CE51FF" w:rsidRPr="001E1601">
        <w:rPr>
          <w:lang w:val="en-GB"/>
        </w:rPr>
        <w:t>four</w:t>
      </w:r>
      <w:r w:rsidRPr="001E1601">
        <w:rPr>
          <w:lang w:val="en-GB"/>
        </w:rPr>
        <w:t xml:space="preserve"> or fewer pairs of setae in the </w:t>
      </w:r>
      <w:r w:rsidRPr="001E1601">
        <w:rPr>
          <w:i/>
          <w:lang w:val="en-GB"/>
        </w:rPr>
        <w:t>c</w:t>
      </w:r>
      <w:r w:rsidRPr="001E1601">
        <w:rPr>
          <w:lang w:val="en-GB"/>
        </w:rPr>
        <w:t xml:space="preserve"> series (Figure 3</w:t>
      </w:r>
      <w:r w:rsidR="00CF2C85" w:rsidRPr="001E1601">
        <w:rPr>
          <w:lang w:val="en-GB"/>
        </w:rPr>
        <w:t>A</w:t>
      </w:r>
      <w:r w:rsidRPr="001E1601">
        <w:rPr>
          <w:lang w:val="en-GB"/>
        </w:rPr>
        <w:t>);</w:t>
      </w:r>
    </w:p>
    <w:p w14:paraId="491D02CE" w14:textId="469C7E07" w:rsidR="00171C04" w:rsidRPr="001E1601" w:rsidRDefault="006B4FB1">
      <w:pPr>
        <w:pStyle w:val="IPPBullet1"/>
        <w:rPr>
          <w:lang w:val="en-GB"/>
        </w:rPr>
      </w:pPr>
      <w:r w:rsidRPr="001E1601">
        <w:rPr>
          <w:rStyle w:val="PleaseReviewParagraphId"/>
          <w:lang w:val="en-GB"/>
        </w:rPr>
        <w:t>[72]</w:t>
      </w:r>
      <w:r w:rsidRPr="001E1601">
        <w:rPr>
          <w:lang w:val="en-GB"/>
        </w:rPr>
        <w:t>chelicerae basally fused, forming a retractable stylophore (Figure 3</w:t>
      </w:r>
      <w:r w:rsidR="003778CB" w:rsidRPr="001E1601">
        <w:rPr>
          <w:lang w:val="en-GB"/>
        </w:rPr>
        <w:t>A</w:t>
      </w:r>
      <w:r w:rsidRPr="001E1601">
        <w:rPr>
          <w:lang w:val="en-GB"/>
        </w:rPr>
        <w:t>);</w:t>
      </w:r>
    </w:p>
    <w:p w14:paraId="491D02CF" w14:textId="797D228C" w:rsidR="00171C04" w:rsidRPr="001E1601" w:rsidRDefault="006B4FB1">
      <w:pPr>
        <w:pStyle w:val="IPPBullet1"/>
        <w:rPr>
          <w:lang w:val="en-GB"/>
        </w:rPr>
      </w:pPr>
      <w:r w:rsidRPr="001E1601">
        <w:rPr>
          <w:rStyle w:val="PleaseReviewParagraphId"/>
          <w:lang w:val="en-GB"/>
        </w:rPr>
        <w:t>[73]</w:t>
      </w:r>
      <w:r w:rsidRPr="001E1601">
        <w:rPr>
          <w:lang w:val="en-GB"/>
        </w:rPr>
        <w:t>stylophore without a ribbed collar basally (Figure 3</w:t>
      </w:r>
      <w:r w:rsidR="003778CB" w:rsidRPr="001E1601">
        <w:rPr>
          <w:lang w:val="en-GB"/>
        </w:rPr>
        <w:t>A</w:t>
      </w:r>
      <w:r w:rsidR="00735676" w:rsidRPr="001E1601">
        <w:rPr>
          <w:lang w:val="en-GB"/>
        </w:rPr>
        <w:t>,</w:t>
      </w:r>
      <w:r w:rsidRPr="001E1601">
        <w:rPr>
          <w:lang w:val="en-GB"/>
        </w:rPr>
        <w:t xml:space="preserve"> Figure </w:t>
      </w:r>
      <w:r w:rsidR="001222B1" w:rsidRPr="001E1601">
        <w:rPr>
          <w:lang w:val="en-GB"/>
        </w:rPr>
        <w:t>4</w:t>
      </w:r>
      <w:r w:rsidR="00DE051D" w:rsidRPr="001E1601">
        <w:rPr>
          <w:lang w:val="en-GB"/>
        </w:rPr>
        <w:t xml:space="preserve"> and </w:t>
      </w:r>
      <w:r w:rsidR="00893C32" w:rsidRPr="001E1601">
        <w:rPr>
          <w:lang w:val="en-GB"/>
        </w:rPr>
        <w:t>Figure</w:t>
      </w:r>
      <w:r w:rsidR="00E2301F" w:rsidRPr="001E1601">
        <w:rPr>
          <w:lang w:val="en-GB"/>
        </w:rPr>
        <w:t> </w:t>
      </w:r>
      <w:r w:rsidR="00893C32" w:rsidRPr="001E1601">
        <w:rPr>
          <w:lang w:val="en-GB"/>
        </w:rPr>
        <w:t>5A</w:t>
      </w:r>
      <w:r w:rsidR="001222B1" w:rsidRPr="001E1601">
        <w:rPr>
          <w:lang w:val="en-GB"/>
        </w:rPr>
        <w:t>)</w:t>
      </w:r>
      <w:r w:rsidRPr="001E1601">
        <w:rPr>
          <w:lang w:val="en-GB"/>
        </w:rPr>
        <w:t>;</w:t>
      </w:r>
    </w:p>
    <w:p w14:paraId="491D02D0" w14:textId="061AB4DB" w:rsidR="00171C04" w:rsidRPr="001E1601" w:rsidRDefault="39225D59">
      <w:pPr>
        <w:pStyle w:val="IPPBullet1"/>
        <w:rPr>
          <w:lang w:val="en-GB"/>
        </w:rPr>
      </w:pPr>
      <w:r w:rsidRPr="001E1601">
        <w:rPr>
          <w:rStyle w:val="PleaseReviewParagraphId"/>
          <w:lang w:val="en-GB"/>
        </w:rPr>
        <w:t>[74]</w:t>
      </w:r>
      <w:bookmarkStart w:id="16" w:name="_Hlk133838907"/>
      <w:r w:rsidRPr="001E1601">
        <w:rPr>
          <w:lang w:val="en-GB"/>
        </w:rPr>
        <w:t>movable</w:t>
      </w:r>
      <w:bookmarkEnd w:id="16"/>
      <w:r w:rsidRPr="001E1601">
        <w:rPr>
          <w:lang w:val="en-GB"/>
        </w:rPr>
        <w:t xml:space="preserve"> cheliceral digits greatly elongate, whip-like (Figure</w:t>
      </w:r>
      <w:r w:rsidR="00E2301F" w:rsidRPr="001E1601">
        <w:rPr>
          <w:lang w:val="en-GB"/>
        </w:rPr>
        <w:t> </w:t>
      </w:r>
      <w:r w:rsidR="00A976AC" w:rsidRPr="001E1601">
        <w:rPr>
          <w:lang w:val="en-GB"/>
        </w:rPr>
        <w:t>4</w:t>
      </w:r>
      <w:r w:rsidR="00306561" w:rsidRPr="001E1601">
        <w:rPr>
          <w:lang w:val="en-GB"/>
        </w:rPr>
        <w:t>A</w:t>
      </w:r>
      <w:r w:rsidR="001F2064" w:rsidRPr="001E1601">
        <w:rPr>
          <w:lang w:val="en-GB"/>
        </w:rPr>
        <w:t xml:space="preserve"> </w:t>
      </w:r>
      <w:r w:rsidR="00E2301F" w:rsidRPr="001E1601">
        <w:rPr>
          <w:lang w:val="en-GB"/>
        </w:rPr>
        <w:t>and Figure 4</w:t>
      </w:r>
      <w:r w:rsidR="00306561" w:rsidRPr="001E1601">
        <w:rPr>
          <w:lang w:val="en-GB"/>
        </w:rPr>
        <w:t>C</w:t>
      </w:r>
      <w:r w:rsidRPr="001E1601">
        <w:rPr>
          <w:lang w:val="en-GB"/>
        </w:rPr>
        <w:t>);</w:t>
      </w:r>
    </w:p>
    <w:p w14:paraId="491D02D1" w14:textId="3E6741E6" w:rsidR="00171C04" w:rsidRPr="001E1601" w:rsidRDefault="006B4FB1">
      <w:pPr>
        <w:pStyle w:val="IPPBullet1"/>
        <w:rPr>
          <w:lang w:val="en-GB"/>
        </w:rPr>
      </w:pPr>
      <w:r w:rsidRPr="001E1601">
        <w:rPr>
          <w:rStyle w:val="PleaseReviewParagraphId"/>
          <w:lang w:val="en-GB"/>
        </w:rPr>
        <w:t>[75]</w:t>
      </w:r>
      <w:r w:rsidRPr="001E1601">
        <w:rPr>
          <w:lang w:val="en-GB"/>
        </w:rPr>
        <w:t xml:space="preserve">palp with a </w:t>
      </w:r>
      <w:bookmarkStart w:id="17" w:name="_Hlk133838943"/>
      <w:r w:rsidRPr="001E1601">
        <w:rPr>
          <w:lang w:val="en-GB"/>
        </w:rPr>
        <w:t xml:space="preserve">thumb-claw </w:t>
      </w:r>
      <w:bookmarkEnd w:id="17"/>
      <w:r w:rsidRPr="001E1601">
        <w:rPr>
          <w:lang w:val="en-GB"/>
        </w:rPr>
        <w:t>structure (Figure </w:t>
      </w:r>
      <w:r w:rsidR="004E7A3A" w:rsidRPr="001E1601">
        <w:rPr>
          <w:lang w:val="en-GB"/>
        </w:rPr>
        <w:t>5B</w:t>
      </w:r>
      <w:r w:rsidRPr="001E1601">
        <w:rPr>
          <w:lang w:val="en-GB"/>
        </w:rPr>
        <w:t>);</w:t>
      </w:r>
      <w:r w:rsidR="00685FCD" w:rsidRPr="001E1601">
        <w:rPr>
          <w:lang w:val="en-GB"/>
        </w:rPr>
        <w:t xml:space="preserve"> </w:t>
      </w:r>
    </w:p>
    <w:p w14:paraId="491D02D2" w14:textId="1563CFA3" w:rsidR="00171C04" w:rsidRPr="001E1601" w:rsidRDefault="006B4FB1">
      <w:pPr>
        <w:pStyle w:val="IPPBullet1"/>
        <w:rPr>
          <w:lang w:val="en-GB"/>
        </w:rPr>
      </w:pPr>
      <w:r w:rsidRPr="001E1601">
        <w:rPr>
          <w:rStyle w:val="PleaseReviewParagraphId"/>
          <w:lang w:val="en-GB"/>
        </w:rPr>
        <w:t>[76]</w:t>
      </w:r>
      <w:r w:rsidRPr="001E1601">
        <w:rPr>
          <w:lang w:val="en-GB"/>
        </w:rPr>
        <w:t xml:space="preserve">tarsi I and II usually with </w:t>
      </w:r>
      <w:r w:rsidR="00655515" w:rsidRPr="001E1601">
        <w:rPr>
          <w:lang w:val="en-GB"/>
        </w:rPr>
        <w:t>one to two</w:t>
      </w:r>
      <w:r w:rsidRPr="001E1601">
        <w:rPr>
          <w:lang w:val="en-GB"/>
        </w:rPr>
        <w:t xml:space="preserve"> sets of duplex setae (Figure </w:t>
      </w:r>
      <w:r w:rsidR="00C929FD" w:rsidRPr="001E1601">
        <w:rPr>
          <w:lang w:val="en-GB"/>
        </w:rPr>
        <w:t xml:space="preserve">6A </w:t>
      </w:r>
      <w:r w:rsidRPr="001E1601">
        <w:rPr>
          <w:lang w:val="en-GB"/>
        </w:rPr>
        <w:t>and</w:t>
      </w:r>
      <w:r w:rsidR="0089317E" w:rsidRPr="001E1601">
        <w:rPr>
          <w:lang w:val="en-GB"/>
        </w:rPr>
        <w:t xml:space="preserve"> Figure</w:t>
      </w:r>
      <w:r w:rsidRPr="001E1601">
        <w:rPr>
          <w:lang w:val="en-GB"/>
        </w:rPr>
        <w:t> </w:t>
      </w:r>
      <w:r w:rsidR="00C929FD" w:rsidRPr="001E1601">
        <w:rPr>
          <w:lang w:val="en-GB"/>
        </w:rPr>
        <w:t>6B</w:t>
      </w:r>
      <w:r w:rsidRPr="001E1601">
        <w:rPr>
          <w:lang w:val="en-GB"/>
        </w:rPr>
        <w:t>);</w:t>
      </w:r>
    </w:p>
    <w:p w14:paraId="491D02D3" w14:textId="1E4609AB" w:rsidR="00171C04" w:rsidRPr="001E1601" w:rsidRDefault="006B4FB1">
      <w:pPr>
        <w:pStyle w:val="IPPBullet1"/>
        <w:rPr>
          <w:lang w:val="en-GB"/>
        </w:rPr>
      </w:pPr>
      <w:r w:rsidRPr="001E1601">
        <w:rPr>
          <w:rStyle w:val="PleaseReviewParagraphId"/>
          <w:lang w:val="en-GB"/>
        </w:rPr>
        <w:t>[77]</w:t>
      </w:r>
      <w:r w:rsidRPr="001E1601">
        <w:rPr>
          <w:lang w:val="en-GB"/>
        </w:rPr>
        <w:t>solenidia on tarsi I and II setiform (Figure </w:t>
      </w:r>
      <w:r w:rsidR="00C929FD" w:rsidRPr="001E1601">
        <w:rPr>
          <w:lang w:val="en-GB"/>
        </w:rPr>
        <w:t xml:space="preserve">6A </w:t>
      </w:r>
      <w:r w:rsidRPr="001E1601">
        <w:rPr>
          <w:lang w:val="en-GB"/>
        </w:rPr>
        <w:t>and</w:t>
      </w:r>
      <w:r w:rsidR="0089317E" w:rsidRPr="001E1601">
        <w:rPr>
          <w:lang w:val="en-GB"/>
        </w:rPr>
        <w:t xml:space="preserve"> Figure</w:t>
      </w:r>
      <w:r w:rsidRPr="001E1601">
        <w:rPr>
          <w:lang w:val="en-GB"/>
        </w:rPr>
        <w:t> </w:t>
      </w:r>
      <w:r w:rsidR="00C929FD" w:rsidRPr="001E1601">
        <w:rPr>
          <w:lang w:val="en-GB"/>
        </w:rPr>
        <w:t>6B</w:t>
      </w:r>
      <w:r w:rsidRPr="001E1601">
        <w:rPr>
          <w:lang w:val="en-GB"/>
        </w:rPr>
        <w:t>); and</w:t>
      </w:r>
    </w:p>
    <w:p w14:paraId="491D02D4" w14:textId="185B2C36" w:rsidR="00171C04" w:rsidRPr="001E1601" w:rsidRDefault="006B4FB1">
      <w:pPr>
        <w:pStyle w:val="IPPBullet1Last"/>
        <w:rPr>
          <w:lang w:eastAsia="ja-JP"/>
        </w:rPr>
      </w:pPr>
      <w:r w:rsidRPr="001E1601">
        <w:rPr>
          <w:rStyle w:val="PleaseReviewParagraphId"/>
        </w:rPr>
        <w:t>[78]</w:t>
      </w:r>
      <w:r w:rsidRPr="001E1601">
        <w:t>tarsal claws usually with tenent hairs (Figure </w:t>
      </w:r>
      <w:r w:rsidR="0056696D" w:rsidRPr="001E1601">
        <w:t>7</w:t>
      </w:r>
      <w:r w:rsidRPr="001E1601">
        <w:t>).</w:t>
      </w:r>
    </w:p>
    <w:p w14:paraId="491D02D5" w14:textId="0F349555" w:rsidR="00171C04" w:rsidRPr="001E1601" w:rsidRDefault="006B4FB1">
      <w:pPr>
        <w:pStyle w:val="IPPHeading2"/>
      </w:pPr>
      <w:r w:rsidRPr="001E1601">
        <w:rPr>
          <w:rStyle w:val="PleaseReviewParagraphId"/>
          <w:b w:val="0"/>
        </w:rPr>
        <w:t>[79]</w:t>
      </w:r>
      <w:r w:rsidRPr="001E1601">
        <w:t>4.3</w:t>
      </w:r>
      <w:r w:rsidRPr="001E1601">
        <w:tab/>
      </w:r>
      <w:r w:rsidR="00AE5480" w:rsidRPr="001E1601">
        <w:t xml:space="preserve">Dichotomous </w:t>
      </w:r>
      <w:r w:rsidR="007443EF" w:rsidRPr="001E1601">
        <w:t xml:space="preserve">key </w:t>
      </w:r>
      <w:r w:rsidRPr="001E1601">
        <w:t xml:space="preserve">to genera of Tetranychidae on </w:t>
      </w:r>
      <w:r w:rsidRPr="001E1601">
        <w:rPr>
          <w:i/>
          <w:iCs/>
        </w:rPr>
        <w:t>Manihot</w:t>
      </w:r>
      <w:r w:rsidRPr="001E1601">
        <w:t xml:space="preserve"> spp</w:t>
      </w:r>
      <w:bookmarkStart w:id="18" w:name="_Hlk64132218"/>
      <w:bookmarkEnd w:id="18"/>
      <w:r w:rsidRPr="001E1601">
        <w:t>.</w:t>
      </w:r>
    </w:p>
    <w:p w14:paraId="491D02D6" w14:textId="4B1F51E6" w:rsidR="00171C04" w:rsidRPr="001E1601" w:rsidRDefault="39225D59" w:rsidP="00C30B5E">
      <w:pPr>
        <w:pStyle w:val="IPPParagraphnumbering"/>
        <w:tabs>
          <w:tab w:val="clear" w:pos="0"/>
        </w:tabs>
        <w:ind w:firstLine="0"/>
        <w:rPr>
          <w:lang w:val="en-GB"/>
        </w:rPr>
      </w:pPr>
      <w:r w:rsidRPr="001E1601">
        <w:rPr>
          <w:rStyle w:val="PleaseReviewParagraphId"/>
          <w:lang w:val="en-GB"/>
        </w:rPr>
        <w:t>[80]</w:t>
      </w:r>
      <w:r w:rsidRPr="001E1601">
        <w:rPr>
          <w:lang w:val="en-GB"/>
        </w:rPr>
        <w:t xml:space="preserve">In addition to </w:t>
      </w:r>
      <w:r w:rsidRPr="001E1601">
        <w:rPr>
          <w:i/>
          <w:iCs/>
          <w:lang w:val="en-GB"/>
        </w:rPr>
        <w:t>M. tanajoa</w:t>
      </w:r>
      <w:r w:rsidRPr="001E1601">
        <w:rPr>
          <w:lang w:val="en-GB"/>
        </w:rPr>
        <w:t xml:space="preserve">, 56 species in 12 genera of Tetranychidae have been recorded on </w:t>
      </w:r>
      <w:r w:rsidRPr="001E1601">
        <w:rPr>
          <w:i/>
          <w:iCs/>
          <w:lang w:val="en-GB"/>
        </w:rPr>
        <w:t>M. esculenta</w:t>
      </w:r>
      <w:r w:rsidRPr="001E1601">
        <w:rPr>
          <w:lang w:val="en-GB"/>
        </w:rPr>
        <w:t xml:space="preserve"> and other </w:t>
      </w:r>
      <w:r w:rsidRPr="001E1601">
        <w:rPr>
          <w:i/>
          <w:iCs/>
          <w:lang w:val="en-GB"/>
        </w:rPr>
        <w:t xml:space="preserve">Manihot </w:t>
      </w:r>
      <w:r w:rsidRPr="001E1601">
        <w:rPr>
          <w:lang w:val="en-GB"/>
        </w:rPr>
        <w:t xml:space="preserve">species so far (Migeon and Dorkeld, 2021): </w:t>
      </w:r>
      <w:r w:rsidRPr="001E1601">
        <w:rPr>
          <w:i/>
          <w:iCs/>
          <w:lang w:val="en-GB"/>
        </w:rPr>
        <w:t>Allonychus</w:t>
      </w:r>
      <w:r w:rsidRPr="001E1601">
        <w:rPr>
          <w:lang w:val="en-GB"/>
        </w:rPr>
        <w:t xml:space="preserve"> (3 species), </w:t>
      </w:r>
      <w:r w:rsidRPr="001E1601">
        <w:rPr>
          <w:i/>
          <w:iCs/>
          <w:lang w:val="en-GB"/>
        </w:rPr>
        <w:t xml:space="preserve">Aponychus </w:t>
      </w:r>
      <w:r w:rsidRPr="00584267">
        <w:rPr>
          <w:lang w:val="en-GB"/>
        </w:rPr>
        <w:t>(1 species),</w:t>
      </w:r>
      <w:r w:rsidRPr="001E1601">
        <w:rPr>
          <w:i/>
          <w:iCs/>
          <w:vertAlign w:val="subscript"/>
          <w:lang w:val="en-GB"/>
        </w:rPr>
        <w:t xml:space="preserve"> </w:t>
      </w:r>
      <w:r w:rsidRPr="001E1601">
        <w:rPr>
          <w:i/>
          <w:iCs/>
          <w:lang w:val="en-GB"/>
        </w:rPr>
        <w:t xml:space="preserve">Atrichoproctus </w:t>
      </w:r>
      <w:r w:rsidRPr="00584267">
        <w:rPr>
          <w:lang w:val="en-GB"/>
        </w:rPr>
        <w:t>(1 species),</w:t>
      </w:r>
      <w:r w:rsidRPr="001E1601">
        <w:rPr>
          <w:i/>
          <w:iCs/>
          <w:lang w:val="en-GB"/>
        </w:rPr>
        <w:t xml:space="preserve"> Eotetranychus </w:t>
      </w:r>
      <w:r w:rsidRPr="00584267">
        <w:rPr>
          <w:lang w:val="en-GB"/>
        </w:rPr>
        <w:t>(1 species),</w:t>
      </w:r>
      <w:r w:rsidRPr="001E1601">
        <w:rPr>
          <w:i/>
          <w:iCs/>
          <w:lang w:val="en-GB"/>
        </w:rPr>
        <w:t xml:space="preserve"> Eutetranychus </w:t>
      </w:r>
      <w:r w:rsidRPr="001E1601">
        <w:rPr>
          <w:lang w:val="en-GB"/>
        </w:rPr>
        <w:t>(5 species),</w:t>
      </w:r>
      <w:r w:rsidRPr="001E1601">
        <w:rPr>
          <w:i/>
          <w:iCs/>
          <w:lang w:val="en-GB"/>
        </w:rPr>
        <w:t xml:space="preserve"> Mononychellus </w:t>
      </w:r>
      <w:r w:rsidRPr="001E1601">
        <w:rPr>
          <w:lang w:val="en-GB"/>
        </w:rPr>
        <w:t>(7 species),</w:t>
      </w:r>
      <w:r w:rsidRPr="001E1601">
        <w:rPr>
          <w:i/>
          <w:iCs/>
          <w:lang w:val="en-GB"/>
        </w:rPr>
        <w:t xml:space="preserve"> Neotetranychus </w:t>
      </w:r>
      <w:r w:rsidRPr="001E1601">
        <w:rPr>
          <w:lang w:val="en-GB"/>
        </w:rPr>
        <w:t>(1 species),</w:t>
      </w:r>
      <w:r w:rsidRPr="001E1601">
        <w:rPr>
          <w:i/>
          <w:iCs/>
          <w:lang w:val="en-GB"/>
        </w:rPr>
        <w:t xml:space="preserve"> Oligonychus </w:t>
      </w:r>
      <w:r w:rsidRPr="001E1601">
        <w:rPr>
          <w:lang w:val="en-GB"/>
        </w:rPr>
        <w:t xml:space="preserve">(8 species), </w:t>
      </w:r>
      <w:r w:rsidRPr="001E1601">
        <w:rPr>
          <w:i/>
          <w:iCs/>
          <w:lang w:val="en-GB"/>
        </w:rPr>
        <w:t xml:space="preserve">Panonychus </w:t>
      </w:r>
      <w:r w:rsidRPr="001E1601">
        <w:rPr>
          <w:lang w:val="en-GB"/>
        </w:rPr>
        <w:t xml:space="preserve">(1 species), </w:t>
      </w:r>
      <w:r w:rsidRPr="001E1601">
        <w:rPr>
          <w:i/>
          <w:iCs/>
          <w:lang w:val="en-GB"/>
        </w:rPr>
        <w:t xml:space="preserve">Petrobia </w:t>
      </w:r>
      <w:r w:rsidRPr="001E1601">
        <w:rPr>
          <w:lang w:val="en-GB"/>
        </w:rPr>
        <w:t>(1 species),</w:t>
      </w:r>
      <w:r w:rsidRPr="001E1601">
        <w:rPr>
          <w:i/>
          <w:iCs/>
          <w:lang w:val="en-GB"/>
        </w:rPr>
        <w:t xml:space="preserve"> Schizotetranychus </w:t>
      </w:r>
      <w:r w:rsidRPr="001E1601">
        <w:rPr>
          <w:lang w:val="en-GB"/>
        </w:rPr>
        <w:t>(1 species)</w:t>
      </w:r>
      <w:r w:rsidRPr="001E1601">
        <w:rPr>
          <w:i/>
          <w:iCs/>
          <w:lang w:val="en-GB"/>
        </w:rPr>
        <w:t xml:space="preserve"> </w:t>
      </w:r>
      <w:r w:rsidRPr="001E1601">
        <w:rPr>
          <w:lang w:val="en-GB"/>
        </w:rPr>
        <w:t xml:space="preserve">and </w:t>
      </w:r>
      <w:r w:rsidRPr="001E1601">
        <w:rPr>
          <w:i/>
          <w:iCs/>
          <w:lang w:val="en-GB"/>
        </w:rPr>
        <w:t xml:space="preserve">Tetranychus </w:t>
      </w:r>
      <w:r w:rsidRPr="001E1601">
        <w:rPr>
          <w:lang w:val="en-GB"/>
        </w:rPr>
        <w:t>(26 species). These genera can be distinguished by morphological traits.</w:t>
      </w:r>
    </w:p>
    <w:p w14:paraId="491D02D7" w14:textId="77777777" w:rsidR="00171C04" w:rsidRPr="001E1601" w:rsidRDefault="006B4FB1" w:rsidP="00C30B5E">
      <w:pPr>
        <w:pStyle w:val="IPPParagraphnumbering"/>
        <w:tabs>
          <w:tab w:val="clear" w:pos="0"/>
        </w:tabs>
        <w:ind w:firstLine="0"/>
        <w:rPr>
          <w:bCs/>
          <w:lang w:val="en-GB"/>
        </w:rPr>
      </w:pPr>
      <w:r w:rsidRPr="001E1601">
        <w:rPr>
          <w:rStyle w:val="PleaseReviewParagraphId"/>
          <w:lang w:val="en-GB"/>
        </w:rPr>
        <w:t>[81]</w:t>
      </w:r>
      <w:r w:rsidRPr="001E1601">
        <w:rPr>
          <w:bCs/>
          <w:lang w:val="en-GB"/>
        </w:rPr>
        <w:t xml:space="preserve">This key can be used to distinguish </w:t>
      </w:r>
      <w:r w:rsidRPr="001E1601">
        <w:rPr>
          <w:lang w:val="en-GB"/>
        </w:rPr>
        <w:t>the Tetranychidae</w:t>
      </w:r>
      <w:r w:rsidRPr="001E1601">
        <w:rPr>
          <w:bCs/>
          <w:lang w:val="en-GB"/>
        </w:rPr>
        <w:t xml:space="preserve"> genera encountered on </w:t>
      </w:r>
      <w:r w:rsidRPr="001E1601">
        <w:rPr>
          <w:bCs/>
          <w:i/>
          <w:lang w:val="en-GB"/>
        </w:rPr>
        <w:t>Manihot</w:t>
      </w:r>
      <w:r w:rsidRPr="001E1601">
        <w:rPr>
          <w:bCs/>
          <w:lang w:val="en-GB"/>
        </w:rPr>
        <w:t xml:space="preserve"> spp. (modified from </w:t>
      </w:r>
      <w:bookmarkStart w:id="19" w:name="_Hlk64136235"/>
      <w:r w:rsidRPr="001E1601">
        <w:rPr>
          <w:lang w:val="en-GB"/>
        </w:rPr>
        <w:t>Meyer (1987</w:t>
      </w:r>
      <w:bookmarkEnd w:id="19"/>
      <w:r w:rsidRPr="001E1601">
        <w:rPr>
          <w:lang w:val="en-GB"/>
        </w:rPr>
        <w:t>) and Bolland, Gutierrez and Flechtmann (1998</w:t>
      </w:r>
      <w:r w:rsidRPr="001E1601">
        <w:rPr>
          <w:bCs/>
          <w:lang w:val="en-GB"/>
        </w:rPr>
        <w:t>)).</w:t>
      </w:r>
    </w:p>
    <w:p w14:paraId="491D02D8" w14:textId="5D50BDC2" w:rsidR="00171C04" w:rsidRPr="001E1601" w:rsidRDefault="39225D59" w:rsidP="00C30B5E">
      <w:pPr>
        <w:pStyle w:val="IPPParagraphnumbering"/>
        <w:tabs>
          <w:tab w:val="clear" w:pos="0"/>
          <w:tab w:val="right" w:leader="dot" w:pos="9072"/>
        </w:tabs>
        <w:ind w:firstLine="0"/>
        <w:rPr>
          <w:lang w:val="en-GB"/>
        </w:rPr>
      </w:pPr>
      <w:r w:rsidRPr="001E1601">
        <w:rPr>
          <w:rStyle w:val="PleaseReviewParagraphId"/>
          <w:lang w:val="en-GB"/>
        </w:rPr>
        <w:t>[82]</w:t>
      </w:r>
      <w:r w:rsidRPr="001E1601">
        <w:rPr>
          <w:lang w:val="en-GB"/>
        </w:rPr>
        <w:t xml:space="preserve">1. Empodium </w:t>
      </w:r>
      <w:r w:rsidR="008C09F2" w:rsidRPr="001E1601">
        <w:rPr>
          <w:lang w:val="en-GB"/>
        </w:rPr>
        <w:t xml:space="preserve">absent or </w:t>
      </w:r>
      <w:r w:rsidRPr="001E1601">
        <w:rPr>
          <w:lang w:val="en-GB"/>
        </w:rPr>
        <w:t>without tenent hairs (Figure </w:t>
      </w:r>
      <w:r w:rsidR="0069358C" w:rsidRPr="001E1601">
        <w:rPr>
          <w:lang w:val="en-GB"/>
        </w:rPr>
        <w:t>7</w:t>
      </w:r>
      <w:r w:rsidR="008843BD" w:rsidRPr="001E1601">
        <w:rPr>
          <w:lang w:val="en-GB"/>
        </w:rPr>
        <w:t>B</w:t>
      </w:r>
      <w:r w:rsidR="0089317E" w:rsidRPr="001E1601">
        <w:rPr>
          <w:lang w:val="en-GB"/>
        </w:rPr>
        <w:t xml:space="preserve"> to Figure 7</w:t>
      </w:r>
      <w:r w:rsidR="00316047" w:rsidRPr="001E1601">
        <w:rPr>
          <w:lang w:val="en-GB"/>
        </w:rPr>
        <w:t>I</w:t>
      </w:r>
      <w:r w:rsidRPr="001E1601">
        <w:rPr>
          <w:lang w:val="en-GB"/>
        </w:rPr>
        <w:t>); female with one or two pairs of pseudanal (</w:t>
      </w:r>
      <w:r w:rsidRPr="001E1601">
        <w:rPr>
          <w:i/>
          <w:iCs/>
          <w:lang w:val="en-GB"/>
        </w:rPr>
        <w:t>ps</w:t>
      </w:r>
      <w:r w:rsidRPr="001E1601">
        <w:rPr>
          <w:lang w:val="en-GB"/>
        </w:rPr>
        <w:t xml:space="preserve">) setae </w:t>
      </w:r>
      <w:r w:rsidR="006B4FB1" w:rsidRPr="001E1601">
        <w:rPr>
          <w:lang w:val="en-GB"/>
        </w:rPr>
        <w:t>(Figure</w:t>
      </w:r>
      <w:r w:rsidR="00E2301F" w:rsidRPr="001E1601">
        <w:rPr>
          <w:lang w:val="en-GB"/>
        </w:rPr>
        <w:t> </w:t>
      </w:r>
      <w:r w:rsidRPr="001E1601">
        <w:rPr>
          <w:lang w:val="en-GB"/>
        </w:rPr>
        <w:t xml:space="preserve">3B); </w:t>
      </w:r>
      <w:bookmarkStart w:id="20" w:name="_Hlk72219647"/>
      <w:bookmarkStart w:id="21" w:name="_Hlk100588002"/>
      <w:r w:rsidRPr="001E1601">
        <w:rPr>
          <w:lang w:val="en-GB"/>
        </w:rPr>
        <w:t xml:space="preserve">male with four pairs of </w:t>
      </w:r>
      <w:bookmarkStart w:id="22" w:name="_Hlk88164454"/>
      <w:r w:rsidRPr="001E1601">
        <w:rPr>
          <w:lang w:val="en-GB"/>
        </w:rPr>
        <w:t>setae (</w:t>
      </w:r>
      <w:r w:rsidRPr="001E1601">
        <w:rPr>
          <w:i/>
          <w:iCs/>
          <w:lang w:val="en-GB"/>
        </w:rPr>
        <w:t>g</w:t>
      </w:r>
      <w:r w:rsidRPr="001E1601">
        <w:rPr>
          <w:lang w:val="en-GB"/>
        </w:rPr>
        <w:t xml:space="preserve"> and </w:t>
      </w:r>
      <w:r w:rsidRPr="001E1601">
        <w:rPr>
          <w:i/>
          <w:iCs/>
          <w:lang w:val="en-GB"/>
        </w:rPr>
        <w:t>ps</w:t>
      </w:r>
      <w:r w:rsidRPr="001E1601">
        <w:rPr>
          <w:lang w:val="en-GB"/>
        </w:rPr>
        <w:t>) on genito-anal valves</w:t>
      </w:r>
      <w:bookmarkEnd w:id="20"/>
      <w:r w:rsidRPr="001E1601">
        <w:rPr>
          <w:lang w:val="en-GB"/>
        </w:rPr>
        <w:t xml:space="preserve"> </w:t>
      </w:r>
      <w:bookmarkEnd w:id="22"/>
      <w:r w:rsidRPr="001E1601">
        <w:rPr>
          <w:lang w:val="en-GB"/>
        </w:rPr>
        <w:t>(</w:t>
      </w:r>
      <w:bookmarkStart w:id="23" w:name="_Hlk95744576"/>
      <w:r w:rsidRPr="001E1601">
        <w:rPr>
          <w:lang w:val="en-GB"/>
        </w:rPr>
        <w:t>Figure </w:t>
      </w:r>
      <w:bookmarkEnd w:id="21"/>
      <w:bookmarkEnd w:id="23"/>
      <w:r w:rsidR="003E0715" w:rsidRPr="001E1601">
        <w:rPr>
          <w:lang w:val="en-GB"/>
        </w:rPr>
        <w:t>8</w:t>
      </w:r>
      <w:r w:rsidR="003848EE" w:rsidRPr="001E1601">
        <w:rPr>
          <w:lang w:val="en-GB"/>
        </w:rPr>
        <w:t>A</w:t>
      </w:r>
      <w:r w:rsidRPr="001E1601">
        <w:rPr>
          <w:lang w:val="en-GB"/>
        </w:rPr>
        <w:t>)</w:t>
      </w:r>
      <w:r w:rsidR="006B4FB1" w:rsidRPr="001E1601">
        <w:rPr>
          <w:lang w:val="en-GB"/>
        </w:rPr>
        <w:tab/>
      </w:r>
      <w:r w:rsidRPr="001E1601">
        <w:rPr>
          <w:b/>
          <w:bCs/>
          <w:lang w:val="en-GB"/>
        </w:rPr>
        <w:t>2</w:t>
      </w:r>
    </w:p>
    <w:p w14:paraId="491D02D9" w14:textId="01B4B5A1"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[83]</w:t>
      </w:r>
      <w:r w:rsidRPr="001E1601">
        <w:rPr>
          <w:lang w:val="en-GB"/>
        </w:rPr>
        <w:t>– Empodium with tenent hairs (Figure </w:t>
      </w:r>
      <w:r w:rsidR="0069358C" w:rsidRPr="001E1601">
        <w:rPr>
          <w:lang w:val="en-GB"/>
        </w:rPr>
        <w:t>7</w:t>
      </w:r>
      <w:r w:rsidR="005902A4" w:rsidRPr="001E1601">
        <w:rPr>
          <w:lang w:val="en-GB"/>
        </w:rPr>
        <w:t>A</w:t>
      </w:r>
      <w:r w:rsidRPr="001E1601">
        <w:rPr>
          <w:lang w:val="en-GB"/>
        </w:rPr>
        <w:t xml:space="preserve">); female with three pairs of pseudanal setae; male with five pairs of setae on </w:t>
      </w:r>
      <w:bookmarkStart w:id="24" w:name="_Hlk133845713"/>
      <w:r w:rsidRPr="001E1601">
        <w:rPr>
          <w:lang w:val="en-GB"/>
        </w:rPr>
        <w:t>genito-anal</w:t>
      </w:r>
      <w:bookmarkEnd w:id="24"/>
      <w:r w:rsidRPr="001E1601">
        <w:rPr>
          <w:lang w:val="en-GB"/>
        </w:rPr>
        <w:t xml:space="preserve"> valves</w:t>
      </w:r>
      <w:r w:rsidRPr="001E1601">
        <w:rPr>
          <w:lang w:val="en-GB"/>
        </w:rPr>
        <w:tab/>
      </w:r>
      <w:r w:rsidRPr="001E1601">
        <w:rPr>
          <w:b/>
          <w:bCs/>
          <w:i/>
          <w:iCs/>
          <w:lang w:val="en-GB"/>
        </w:rPr>
        <w:t>Petrobia</w:t>
      </w:r>
      <w:r w:rsidRPr="001E1601">
        <w:rPr>
          <w:b/>
          <w:bCs/>
          <w:lang w:val="en-GB"/>
        </w:rPr>
        <w:t xml:space="preserve"> </w:t>
      </w:r>
      <w:r w:rsidRPr="001E1601">
        <w:rPr>
          <w:lang w:val="en-GB"/>
        </w:rPr>
        <w:t>Murray</w:t>
      </w:r>
    </w:p>
    <w:p w14:paraId="491D02DA" w14:textId="0CA89DA9"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[84]</w:t>
      </w:r>
      <w:r w:rsidRPr="001E1601">
        <w:rPr>
          <w:lang w:val="en-GB"/>
        </w:rPr>
        <w:t>2. </w:t>
      </w:r>
      <w:bookmarkStart w:id="25" w:name="_Hlk72219773"/>
      <w:r w:rsidRPr="001E1601">
        <w:rPr>
          <w:lang w:val="en-GB"/>
        </w:rPr>
        <w:t>Tarsus I without duplex setae or with one set of duplex setae</w:t>
      </w:r>
      <w:bookmarkEnd w:id="25"/>
      <w:r w:rsidRPr="001E1601">
        <w:rPr>
          <w:lang w:val="en-GB"/>
        </w:rPr>
        <w:t>; empodia I–IV in female and III–IV in male absent (Figure </w:t>
      </w:r>
      <w:r w:rsidR="0069358C" w:rsidRPr="001E1601">
        <w:rPr>
          <w:lang w:val="en-GB"/>
        </w:rPr>
        <w:t>7</w:t>
      </w:r>
      <w:r w:rsidR="005902A4" w:rsidRPr="001E1601">
        <w:rPr>
          <w:lang w:val="en-GB"/>
        </w:rPr>
        <w:t>B</w:t>
      </w:r>
      <w:r w:rsidRPr="001E1601">
        <w:rPr>
          <w:lang w:val="en-GB"/>
        </w:rPr>
        <w:t>) or vestigial</w:t>
      </w:r>
      <w:r w:rsidRPr="001E1601">
        <w:rPr>
          <w:lang w:val="en-GB"/>
        </w:rPr>
        <w:tab/>
        <w:t>.</w:t>
      </w:r>
      <w:r w:rsidRPr="001E1601">
        <w:rPr>
          <w:b/>
          <w:bCs/>
          <w:lang w:val="en-GB"/>
        </w:rPr>
        <w:t>3</w:t>
      </w:r>
    </w:p>
    <w:p w14:paraId="491D02DB" w14:textId="2774903B"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[85]</w:t>
      </w:r>
      <w:r w:rsidRPr="001E1601">
        <w:rPr>
          <w:lang w:val="en-GB"/>
        </w:rPr>
        <w:t>– Tarsus I with two sets of duplex setae (Figure </w:t>
      </w:r>
      <w:r w:rsidR="005902A4" w:rsidRPr="001E1601">
        <w:rPr>
          <w:lang w:val="en-GB"/>
        </w:rPr>
        <w:t>6A</w:t>
      </w:r>
      <w:r w:rsidRPr="001E1601">
        <w:rPr>
          <w:lang w:val="en-GB"/>
        </w:rPr>
        <w:t>); empodia I–IV in female and III–IV in male uncinate (claw-like) (Figure </w:t>
      </w:r>
      <w:r w:rsidR="0069358C" w:rsidRPr="001E1601">
        <w:rPr>
          <w:lang w:val="en-GB"/>
        </w:rPr>
        <w:t>7</w:t>
      </w:r>
      <w:r w:rsidR="0004433A" w:rsidRPr="001E1601">
        <w:rPr>
          <w:lang w:val="en-GB"/>
        </w:rPr>
        <w:t>C</w:t>
      </w:r>
      <w:r w:rsidRPr="001E1601">
        <w:rPr>
          <w:lang w:val="en-GB"/>
        </w:rPr>
        <w:t xml:space="preserve">) or split into three pairs of </w:t>
      </w:r>
      <w:bookmarkStart w:id="26" w:name="_Hlk133845895"/>
      <w:r w:rsidRPr="001E1601">
        <w:rPr>
          <w:lang w:val="en-GB"/>
        </w:rPr>
        <w:t>proximoventral</w:t>
      </w:r>
      <w:bookmarkEnd w:id="26"/>
      <w:r w:rsidRPr="001E1601">
        <w:rPr>
          <w:lang w:val="en-GB"/>
        </w:rPr>
        <w:t xml:space="preserve"> hairs (Figure </w:t>
      </w:r>
      <w:r w:rsidR="0056696D" w:rsidRPr="001E1601">
        <w:rPr>
          <w:lang w:val="en-GB"/>
        </w:rPr>
        <w:t>7</w:t>
      </w:r>
      <w:r w:rsidRPr="001E1601">
        <w:rPr>
          <w:lang w:val="en-GB"/>
        </w:rPr>
        <w:t>D)</w:t>
      </w:r>
      <w:r w:rsidRPr="001E1601">
        <w:rPr>
          <w:lang w:val="en-GB"/>
        </w:rPr>
        <w:tab/>
      </w:r>
      <w:r w:rsidRPr="001E1601">
        <w:rPr>
          <w:b/>
          <w:bCs/>
          <w:lang w:val="en-GB"/>
        </w:rPr>
        <w:t>4</w:t>
      </w:r>
    </w:p>
    <w:p w14:paraId="491D02DC" w14:textId="3DCDFF66"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[86]</w:t>
      </w:r>
      <w:r w:rsidRPr="001E1601">
        <w:rPr>
          <w:lang w:val="en-GB"/>
        </w:rPr>
        <w:t xml:space="preserve">3. Female with one pair of </w:t>
      </w:r>
      <w:bookmarkStart w:id="27" w:name="_Hlk133845922"/>
      <w:r w:rsidRPr="001E1601">
        <w:rPr>
          <w:lang w:val="en-GB"/>
        </w:rPr>
        <w:t>pseudanal</w:t>
      </w:r>
      <w:bookmarkEnd w:id="27"/>
      <w:r w:rsidRPr="001E1601">
        <w:rPr>
          <w:lang w:val="en-GB"/>
        </w:rPr>
        <w:t xml:space="preserve"> setae; </w:t>
      </w:r>
      <w:bookmarkStart w:id="28" w:name="_Hlk133845940"/>
      <w:bookmarkStart w:id="29" w:name="_Hlk100588037"/>
      <w:r w:rsidRPr="001E1601">
        <w:rPr>
          <w:lang w:val="en-GB"/>
        </w:rPr>
        <w:t>hysterosomal</w:t>
      </w:r>
      <w:bookmarkEnd w:id="28"/>
      <w:r w:rsidRPr="001E1601">
        <w:rPr>
          <w:lang w:val="en-GB"/>
        </w:rPr>
        <w:t xml:space="preserve"> setae </w:t>
      </w:r>
      <w:r w:rsidRPr="001E1601">
        <w:rPr>
          <w:i/>
          <w:iCs/>
          <w:lang w:val="en-GB"/>
        </w:rPr>
        <w:t>f</w:t>
      </w:r>
      <w:r w:rsidRPr="001E1601">
        <w:rPr>
          <w:i/>
          <w:iCs/>
          <w:vertAlign w:val="subscript"/>
          <w:lang w:val="en-GB"/>
        </w:rPr>
        <w:t>1</w:t>
      </w:r>
      <w:r w:rsidRPr="001E1601">
        <w:rPr>
          <w:lang w:val="en-GB"/>
        </w:rPr>
        <w:t xml:space="preserve"> </w:t>
      </w:r>
      <w:bookmarkStart w:id="30" w:name="_Hlk69311531"/>
      <w:r w:rsidRPr="001E1601">
        <w:rPr>
          <w:lang w:val="en-GB"/>
        </w:rPr>
        <w:t xml:space="preserve">inserted in </w:t>
      </w:r>
      <w:bookmarkEnd w:id="30"/>
      <w:r w:rsidRPr="001E1601">
        <w:rPr>
          <w:lang w:val="en-GB"/>
        </w:rPr>
        <w:t xml:space="preserve">marginal area, lateral to dorsocentral setae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i/>
          <w:iCs/>
          <w:lang w:val="en-GB"/>
        </w:rPr>
        <w:t xml:space="preserve"> </w:t>
      </w:r>
      <w:r w:rsidRPr="001E1601">
        <w:rPr>
          <w:lang w:val="en-GB"/>
        </w:rPr>
        <w:t xml:space="preserve">and </w:t>
      </w:r>
      <w:bookmarkStart w:id="31" w:name="_Hlk72222267"/>
      <w:bookmarkEnd w:id="31"/>
      <w:r w:rsidRPr="001E1601">
        <w:rPr>
          <w:i/>
          <w:iCs/>
          <w:lang w:val="en-GB"/>
        </w:rPr>
        <w:t>e</w:t>
      </w:r>
      <w:r w:rsidRPr="001E1601">
        <w:rPr>
          <w:i/>
          <w:iCs/>
          <w:vertAlign w:val="subscript"/>
          <w:lang w:val="en-GB"/>
        </w:rPr>
        <w:t>1</w:t>
      </w:r>
      <w:r w:rsidRPr="001E1601">
        <w:rPr>
          <w:vertAlign w:val="subscript"/>
          <w:lang w:val="en-GB"/>
        </w:rPr>
        <w:t xml:space="preserve"> </w:t>
      </w:r>
      <w:r w:rsidRPr="001E1601">
        <w:rPr>
          <w:lang w:val="en-GB"/>
        </w:rPr>
        <w:t>(Figure </w:t>
      </w:r>
      <w:r w:rsidR="003E0715" w:rsidRPr="001E1601">
        <w:rPr>
          <w:lang w:val="en-GB"/>
        </w:rPr>
        <w:t>8</w:t>
      </w:r>
      <w:r w:rsidRPr="001E1601">
        <w:rPr>
          <w:lang w:val="en-GB"/>
        </w:rPr>
        <w:t>C)</w:t>
      </w:r>
      <w:r w:rsidRPr="001E1601">
        <w:rPr>
          <w:lang w:val="en-GB"/>
        </w:rPr>
        <w:tab/>
      </w:r>
      <w:bookmarkStart w:id="32" w:name="_Hlk88164712"/>
      <w:r w:rsidRPr="001E1601">
        <w:rPr>
          <w:b/>
          <w:bCs/>
          <w:i/>
          <w:iCs/>
          <w:lang w:val="en-GB"/>
        </w:rPr>
        <w:t>Aponychus</w:t>
      </w:r>
      <w:r w:rsidRPr="001E1601">
        <w:rPr>
          <w:lang w:val="en-GB"/>
        </w:rPr>
        <w:t xml:space="preserve"> </w:t>
      </w:r>
      <w:bookmarkEnd w:id="29"/>
      <w:bookmarkEnd w:id="32"/>
      <w:r w:rsidRPr="001E1601">
        <w:rPr>
          <w:lang w:val="en-GB"/>
        </w:rPr>
        <w:t>Rimando</w:t>
      </w:r>
    </w:p>
    <w:p w14:paraId="491D02DD" w14:textId="66972863"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[87]</w:t>
      </w:r>
      <w:r w:rsidRPr="001E1601">
        <w:rPr>
          <w:lang w:val="en-GB"/>
        </w:rPr>
        <w:t xml:space="preserve">– Female with two pairs of pseudanal setae; hysterosomal setae </w:t>
      </w:r>
      <w:r w:rsidRPr="001E1601">
        <w:rPr>
          <w:i/>
          <w:iCs/>
          <w:lang w:val="en-GB"/>
        </w:rPr>
        <w:t>f</w:t>
      </w:r>
      <w:r w:rsidRPr="001E1601">
        <w:rPr>
          <w:i/>
          <w:iCs/>
          <w:vertAlign w:val="subscript"/>
          <w:lang w:val="en-GB"/>
        </w:rPr>
        <w:t>1</w:t>
      </w:r>
      <w:r w:rsidRPr="001E1601">
        <w:rPr>
          <w:lang w:val="en-GB"/>
        </w:rPr>
        <w:t xml:space="preserve"> inserted in median area, approximately aligned with dorsocentral setae</w:t>
      </w:r>
      <w:r w:rsidRPr="001E1601">
        <w:rPr>
          <w:i/>
          <w:iCs/>
          <w:lang w:val="en-GB"/>
        </w:rPr>
        <w:t xml:space="preserve"> 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i/>
          <w:iCs/>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lang w:val="en-GB"/>
        </w:rPr>
        <w:t xml:space="preserve"> (Figure </w:t>
      </w:r>
      <w:r w:rsidR="003E0715" w:rsidRPr="001E1601">
        <w:rPr>
          <w:lang w:val="en-GB"/>
        </w:rPr>
        <w:t>8</w:t>
      </w:r>
      <w:r w:rsidR="00C21B96" w:rsidRPr="001E1601">
        <w:rPr>
          <w:lang w:val="en-GB"/>
        </w:rPr>
        <w:t>D</w:t>
      </w:r>
      <w:r w:rsidRPr="001E1601">
        <w:rPr>
          <w:lang w:val="en-GB"/>
        </w:rPr>
        <w:t>)</w:t>
      </w:r>
      <w:r w:rsidRPr="001E1601">
        <w:rPr>
          <w:lang w:val="en-GB"/>
        </w:rPr>
        <w:tab/>
      </w:r>
      <w:bookmarkStart w:id="33" w:name="_Hlk88164733"/>
      <w:r w:rsidRPr="001E1601">
        <w:rPr>
          <w:b/>
          <w:bCs/>
          <w:i/>
          <w:iCs/>
          <w:lang w:val="en-GB"/>
        </w:rPr>
        <w:t>Eutetranychus</w:t>
      </w:r>
      <w:r w:rsidRPr="001E1601">
        <w:rPr>
          <w:lang w:val="en-GB"/>
        </w:rPr>
        <w:t xml:space="preserve"> </w:t>
      </w:r>
      <w:bookmarkEnd w:id="33"/>
      <w:r w:rsidRPr="001E1601">
        <w:rPr>
          <w:lang w:val="en-GB"/>
        </w:rPr>
        <w:t>Banks</w:t>
      </w:r>
    </w:p>
    <w:p w14:paraId="491D02DE" w14:textId="77777777" w:rsidR="00171C04" w:rsidRPr="001E1601" w:rsidRDefault="006B4FB1" w:rsidP="00C30B5E">
      <w:pPr>
        <w:pStyle w:val="IPPParagraphnumbering"/>
        <w:tabs>
          <w:tab w:val="clear" w:pos="0"/>
          <w:tab w:val="right" w:leader="dot" w:pos="9072"/>
        </w:tabs>
        <w:ind w:firstLine="0"/>
        <w:rPr>
          <w:i/>
          <w:iCs/>
          <w:lang w:val="en-GB"/>
        </w:rPr>
      </w:pPr>
      <w:r w:rsidRPr="001E1601">
        <w:rPr>
          <w:rStyle w:val="PleaseReviewParagraphId"/>
          <w:lang w:val="en-GB"/>
        </w:rPr>
        <w:t>[88]</w:t>
      </w:r>
      <w:r w:rsidRPr="001E1601">
        <w:rPr>
          <w:lang w:val="en-GB"/>
        </w:rPr>
        <w:t xml:space="preserve">4. Female with two pairs of </w:t>
      </w:r>
      <w:r w:rsidRPr="001E1601">
        <w:rPr>
          <w:i/>
          <w:iCs/>
          <w:lang w:val="en-GB"/>
        </w:rPr>
        <w:t>h</w:t>
      </w:r>
      <w:r w:rsidRPr="001E1601">
        <w:rPr>
          <w:lang w:val="en-GB"/>
        </w:rPr>
        <w:t xml:space="preserve"> setae (</w:t>
      </w:r>
      <w:r w:rsidRPr="001E1601">
        <w:rPr>
          <w:i/>
          <w:iCs/>
          <w:lang w:val="en-GB"/>
        </w:rPr>
        <w:t>h</w:t>
      </w:r>
      <w:r w:rsidRPr="001E1601">
        <w:rPr>
          <w:i/>
          <w:iCs/>
          <w:vertAlign w:val="subscript"/>
          <w:lang w:val="en-GB"/>
        </w:rPr>
        <w:t>1</w:t>
      </w:r>
      <w:r w:rsidRPr="001E1601">
        <w:rPr>
          <w:vertAlign w:val="subscript"/>
          <w:lang w:val="en-GB"/>
        </w:rPr>
        <w:t xml:space="preserve"> </w:t>
      </w:r>
      <w:r w:rsidRPr="001E1601">
        <w:rPr>
          <w:lang w:val="en-GB"/>
        </w:rPr>
        <w:t>missing) and one or two pairs of pseudanal setae</w:t>
      </w:r>
      <w:r w:rsidRPr="001E1601">
        <w:rPr>
          <w:lang w:val="en-GB"/>
        </w:rPr>
        <w:tab/>
      </w:r>
      <w:r w:rsidRPr="001E1601">
        <w:rPr>
          <w:b/>
          <w:bCs/>
          <w:lang w:val="en-GB"/>
        </w:rPr>
        <w:t>5</w:t>
      </w:r>
    </w:p>
    <w:p w14:paraId="491D02DF" w14:textId="77777777" w:rsidR="00171C04" w:rsidRPr="001E1601" w:rsidRDefault="006B4FB1" w:rsidP="00C30B5E">
      <w:pPr>
        <w:pStyle w:val="IPPParagraphnumbering"/>
        <w:tabs>
          <w:tab w:val="clear" w:pos="0"/>
          <w:tab w:val="right" w:leader="dot" w:pos="9072"/>
        </w:tabs>
        <w:ind w:firstLine="0"/>
        <w:rPr>
          <w:b/>
          <w:bCs/>
          <w:i/>
          <w:iCs/>
          <w:lang w:val="en-GB"/>
        </w:rPr>
      </w:pPr>
      <w:r w:rsidRPr="001E1601">
        <w:rPr>
          <w:rStyle w:val="PleaseReviewParagraphId"/>
          <w:lang w:val="en-GB"/>
        </w:rPr>
        <w:lastRenderedPageBreak/>
        <w:t>[89]</w:t>
      </w:r>
      <w:r w:rsidRPr="001E1601">
        <w:rPr>
          <w:lang w:val="en-GB"/>
        </w:rPr>
        <w:t xml:space="preserve">– Female with three pairs of </w:t>
      </w:r>
      <w:r w:rsidRPr="001E1601">
        <w:rPr>
          <w:i/>
          <w:iCs/>
          <w:lang w:val="en-GB"/>
        </w:rPr>
        <w:t>h</w:t>
      </w:r>
      <w:r w:rsidRPr="001E1601">
        <w:rPr>
          <w:lang w:val="en-GB"/>
        </w:rPr>
        <w:t xml:space="preserve"> setae and two pairs of pseudanal setae (Figure 3B)</w:t>
      </w:r>
      <w:r w:rsidRPr="001E1601">
        <w:rPr>
          <w:lang w:val="en-GB"/>
        </w:rPr>
        <w:tab/>
      </w:r>
      <w:r w:rsidRPr="001E1601">
        <w:rPr>
          <w:b/>
          <w:bCs/>
          <w:lang w:val="en-GB"/>
        </w:rPr>
        <w:t>7</w:t>
      </w:r>
    </w:p>
    <w:p w14:paraId="491D02E0" w14:textId="2947EB7F" w:rsidR="00171C04" w:rsidRPr="001E1601" w:rsidRDefault="006B4FB1" w:rsidP="00C30B5E">
      <w:pPr>
        <w:pStyle w:val="IPPParagraphnumbering"/>
        <w:tabs>
          <w:tab w:val="clear" w:pos="0"/>
          <w:tab w:val="right" w:leader="dot" w:pos="9072"/>
        </w:tabs>
        <w:ind w:firstLine="0"/>
        <w:rPr>
          <w:i/>
          <w:iCs/>
          <w:lang w:val="en-GB"/>
        </w:rPr>
      </w:pPr>
      <w:r w:rsidRPr="001E1601">
        <w:rPr>
          <w:rStyle w:val="PleaseReviewParagraphId"/>
          <w:lang w:val="en-GB"/>
        </w:rPr>
        <w:t>[90]</w:t>
      </w:r>
      <w:r w:rsidRPr="001E1601">
        <w:rPr>
          <w:lang w:val="en-GB"/>
        </w:rPr>
        <w:t xml:space="preserve">5. Female with two pairs of pseudanal setae; </w:t>
      </w:r>
      <w:bookmarkStart w:id="34" w:name="_Hlk72224090"/>
      <w:r w:rsidRPr="001E1601">
        <w:rPr>
          <w:lang w:val="en-GB"/>
        </w:rPr>
        <w:t xml:space="preserve">tarsal duplex setae close to each other in </w:t>
      </w:r>
      <w:r w:rsidR="0061390E" w:rsidRPr="001E1601">
        <w:rPr>
          <w:lang w:val="en-GB"/>
        </w:rPr>
        <w:t xml:space="preserve">the </w:t>
      </w:r>
      <w:r w:rsidRPr="001E1601">
        <w:rPr>
          <w:lang w:val="en-GB"/>
        </w:rPr>
        <w:t xml:space="preserve">distal half of segment, or well separated from each other with one in </w:t>
      </w:r>
      <w:r w:rsidR="0061390E" w:rsidRPr="001E1601">
        <w:rPr>
          <w:lang w:val="en-GB"/>
        </w:rPr>
        <w:t xml:space="preserve">the </w:t>
      </w:r>
      <w:r w:rsidRPr="001E1601">
        <w:rPr>
          <w:lang w:val="en-GB"/>
        </w:rPr>
        <w:t xml:space="preserve">distal half and the other in </w:t>
      </w:r>
      <w:r w:rsidR="0061390E" w:rsidRPr="001E1601">
        <w:rPr>
          <w:lang w:val="en-GB"/>
        </w:rPr>
        <w:t xml:space="preserve">the </w:t>
      </w:r>
      <w:r w:rsidRPr="001E1601">
        <w:rPr>
          <w:lang w:val="en-GB"/>
        </w:rPr>
        <w:t>basal half; empodium variable</w:t>
      </w:r>
      <w:bookmarkEnd w:id="34"/>
      <w:r w:rsidRPr="001E1601">
        <w:rPr>
          <w:lang w:val="en-GB"/>
        </w:rPr>
        <w:tab/>
      </w:r>
      <w:r w:rsidRPr="001E1601">
        <w:rPr>
          <w:b/>
          <w:bCs/>
          <w:lang w:val="en-GB"/>
        </w:rPr>
        <w:t>6</w:t>
      </w:r>
    </w:p>
    <w:p w14:paraId="491D02E1" w14:textId="77777777"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[91]</w:t>
      </w:r>
      <w:r w:rsidRPr="001E1601">
        <w:rPr>
          <w:lang w:val="en-GB"/>
        </w:rPr>
        <w:t xml:space="preserve">– Female with one pair of pseudanal setae; </w:t>
      </w:r>
      <w:bookmarkStart w:id="35" w:name="_Hlk72224937"/>
      <w:bookmarkStart w:id="36" w:name="_Hlk72224709"/>
      <w:r w:rsidRPr="001E1601">
        <w:rPr>
          <w:lang w:val="en-GB"/>
        </w:rPr>
        <w:t>tarsal duplex setae close to each other in distal half of segment; empodium uncinate</w:t>
      </w:r>
      <w:bookmarkEnd w:id="35"/>
      <w:r w:rsidRPr="001E1601">
        <w:rPr>
          <w:lang w:val="en-GB"/>
        </w:rPr>
        <w:tab/>
      </w:r>
      <w:bookmarkEnd w:id="36"/>
      <w:r w:rsidRPr="001E1601">
        <w:rPr>
          <w:b/>
          <w:bCs/>
          <w:i/>
          <w:lang w:val="en-GB"/>
        </w:rPr>
        <w:t>Atrichoproctus</w:t>
      </w:r>
      <w:r w:rsidRPr="001E1601">
        <w:rPr>
          <w:b/>
          <w:bCs/>
          <w:iCs/>
          <w:lang w:val="en-GB"/>
        </w:rPr>
        <w:t xml:space="preserve"> </w:t>
      </w:r>
      <w:r w:rsidRPr="001E1601">
        <w:rPr>
          <w:iCs/>
          <w:lang w:val="en-GB"/>
        </w:rPr>
        <w:t>Flechtmann</w:t>
      </w:r>
    </w:p>
    <w:p w14:paraId="491D02E2" w14:textId="4FF55733"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[92]</w:t>
      </w:r>
      <w:r w:rsidRPr="001E1601">
        <w:rPr>
          <w:lang w:val="en-GB"/>
        </w:rPr>
        <w:t>6. Duplex setae on tarsus I close to each other, in distal half; empodium claw-like, strong, not shorter than proximoventral hairs (Figure </w:t>
      </w:r>
      <w:r w:rsidR="0068188A" w:rsidRPr="001E1601">
        <w:rPr>
          <w:lang w:val="en-GB"/>
        </w:rPr>
        <w:t>7</w:t>
      </w:r>
      <w:r w:rsidR="00C21B96" w:rsidRPr="001E1601">
        <w:rPr>
          <w:lang w:val="en-GB"/>
        </w:rPr>
        <w:t>E</w:t>
      </w:r>
      <w:r w:rsidRPr="001E1601">
        <w:rPr>
          <w:lang w:val="en-GB"/>
        </w:rPr>
        <w:t>); male with claw I bifid</w:t>
      </w:r>
      <w:r w:rsidRPr="001E1601">
        <w:rPr>
          <w:lang w:val="en-GB"/>
        </w:rPr>
        <w:tab/>
      </w:r>
      <w:r w:rsidRPr="001E1601">
        <w:rPr>
          <w:b/>
          <w:bCs/>
          <w:i/>
          <w:lang w:val="en-GB"/>
        </w:rPr>
        <w:t>Oligonychus</w:t>
      </w:r>
      <w:r w:rsidRPr="001E1601">
        <w:rPr>
          <w:iCs/>
          <w:lang w:val="en-GB"/>
        </w:rPr>
        <w:t xml:space="preserve"> Berlese</w:t>
      </w:r>
    </w:p>
    <w:p w14:paraId="491D02E3" w14:textId="121F1553"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[93]</w:t>
      </w:r>
      <w:r w:rsidRPr="001E1601">
        <w:rPr>
          <w:lang w:val="en-GB"/>
        </w:rPr>
        <w:t>– </w:t>
      </w:r>
      <w:bookmarkStart w:id="37" w:name="_Hlk72225263"/>
      <w:r w:rsidRPr="001E1601">
        <w:rPr>
          <w:lang w:val="en-GB"/>
        </w:rPr>
        <w:t>Duplex setae on tarsus I relatively distant from each other, one in distal half and other in basal half of segment; empodium variable (Figure </w:t>
      </w:r>
      <w:r w:rsidR="0068188A" w:rsidRPr="001E1601">
        <w:rPr>
          <w:lang w:val="en-GB"/>
        </w:rPr>
        <w:t>7</w:t>
      </w:r>
      <w:r w:rsidR="00C21B96" w:rsidRPr="001E1601">
        <w:rPr>
          <w:lang w:val="en-GB"/>
        </w:rPr>
        <w:t>D</w:t>
      </w:r>
      <w:r w:rsidRPr="001E1601">
        <w:rPr>
          <w:lang w:val="en-GB"/>
        </w:rPr>
        <w:t xml:space="preserve">), </w:t>
      </w:r>
      <w:bookmarkEnd w:id="37"/>
      <w:r w:rsidRPr="001E1601">
        <w:rPr>
          <w:lang w:val="en-GB"/>
        </w:rPr>
        <w:t>if claw-like, much shorter than proximoventral hairs; male with claw I not bifid</w:t>
      </w:r>
      <w:r w:rsidRPr="001E1601">
        <w:rPr>
          <w:lang w:val="en-GB"/>
        </w:rPr>
        <w:tab/>
      </w:r>
      <w:r w:rsidRPr="001E1601">
        <w:rPr>
          <w:b/>
          <w:bCs/>
          <w:i/>
          <w:lang w:val="en-GB"/>
        </w:rPr>
        <w:t>Tetranychus</w:t>
      </w:r>
      <w:r w:rsidRPr="001E1601">
        <w:rPr>
          <w:iCs/>
          <w:lang w:val="en-GB"/>
        </w:rPr>
        <w:t xml:space="preserve"> Dufour</w:t>
      </w:r>
    </w:p>
    <w:p w14:paraId="491D02E4" w14:textId="09F33E87" w:rsidR="00171C04" w:rsidRPr="001E1601" w:rsidRDefault="006B4FB1" w:rsidP="00C30B5E">
      <w:pPr>
        <w:pStyle w:val="IPPParagraphnumbering"/>
        <w:tabs>
          <w:tab w:val="clear" w:pos="0"/>
          <w:tab w:val="right" w:leader="dot" w:pos="9072"/>
        </w:tabs>
        <w:ind w:firstLine="0"/>
        <w:rPr>
          <w:i/>
          <w:iCs/>
          <w:lang w:val="en-GB"/>
        </w:rPr>
      </w:pPr>
      <w:r w:rsidRPr="001E1601">
        <w:rPr>
          <w:rStyle w:val="PleaseReviewParagraphId"/>
          <w:lang w:val="en-GB"/>
        </w:rPr>
        <w:t>[94]</w:t>
      </w:r>
      <w:r w:rsidRPr="001E1601">
        <w:rPr>
          <w:lang w:val="en-GB"/>
        </w:rPr>
        <w:t>7. Empodium claw-like (Figure </w:t>
      </w:r>
      <w:r w:rsidR="0068188A" w:rsidRPr="001E1601">
        <w:rPr>
          <w:lang w:val="en-GB"/>
        </w:rPr>
        <w:t>7</w:t>
      </w:r>
      <w:r w:rsidR="00C21B96" w:rsidRPr="001E1601">
        <w:rPr>
          <w:lang w:val="en-GB"/>
        </w:rPr>
        <w:t xml:space="preserve">C </w:t>
      </w:r>
      <w:r w:rsidRPr="001E1601">
        <w:rPr>
          <w:lang w:val="en-GB"/>
        </w:rPr>
        <w:t>and Figure </w:t>
      </w:r>
      <w:r w:rsidR="0068188A" w:rsidRPr="001E1601">
        <w:rPr>
          <w:lang w:val="en-GB"/>
        </w:rPr>
        <w:t>7</w:t>
      </w:r>
      <w:r w:rsidR="00C21B96" w:rsidRPr="001E1601">
        <w:rPr>
          <w:lang w:val="en-GB"/>
        </w:rPr>
        <w:t>F</w:t>
      </w:r>
      <w:r w:rsidRPr="001E1601">
        <w:rPr>
          <w:lang w:val="en-GB"/>
        </w:rPr>
        <w:t>)</w:t>
      </w:r>
      <w:r w:rsidRPr="001E1601">
        <w:rPr>
          <w:lang w:val="en-GB"/>
        </w:rPr>
        <w:tab/>
      </w:r>
      <w:r w:rsidRPr="001E1601">
        <w:rPr>
          <w:b/>
          <w:bCs/>
          <w:lang w:val="en-GB"/>
        </w:rPr>
        <w:t>8</w:t>
      </w:r>
    </w:p>
    <w:p w14:paraId="491D02E5" w14:textId="53B27C3C" w:rsidR="00171C04" w:rsidRPr="001E1601" w:rsidRDefault="006B4FB1" w:rsidP="00C30B5E">
      <w:pPr>
        <w:pStyle w:val="IPPParagraphnumbering"/>
        <w:tabs>
          <w:tab w:val="clear" w:pos="0"/>
          <w:tab w:val="right" w:leader="dot" w:pos="9072"/>
        </w:tabs>
        <w:ind w:firstLine="0"/>
        <w:rPr>
          <w:b/>
          <w:bCs/>
          <w:i/>
          <w:iCs/>
          <w:lang w:val="en-GB"/>
        </w:rPr>
      </w:pPr>
      <w:r w:rsidRPr="001E1601">
        <w:rPr>
          <w:rStyle w:val="PleaseReviewParagraphId"/>
          <w:lang w:val="en-GB"/>
        </w:rPr>
        <w:t>[95]</w:t>
      </w:r>
      <w:r w:rsidRPr="001E1601">
        <w:rPr>
          <w:lang w:val="en-GB"/>
        </w:rPr>
        <w:t>– Empodium not claw-like, ending in a tuft of hairs (Figure </w:t>
      </w:r>
      <w:r w:rsidR="0068188A" w:rsidRPr="001E1601">
        <w:rPr>
          <w:lang w:val="en-GB"/>
        </w:rPr>
        <w:t>7</w:t>
      </w:r>
      <w:r w:rsidR="00C21B96" w:rsidRPr="001E1601">
        <w:rPr>
          <w:lang w:val="en-GB"/>
        </w:rPr>
        <w:t>D</w:t>
      </w:r>
      <w:r w:rsidRPr="001E1601">
        <w:rPr>
          <w:lang w:val="en-GB"/>
        </w:rPr>
        <w:t>)</w:t>
      </w:r>
      <w:r w:rsidRPr="001E1601">
        <w:rPr>
          <w:lang w:val="en-GB"/>
        </w:rPr>
        <w:tab/>
      </w:r>
      <w:r w:rsidRPr="001E1601">
        <w:rPr>
          <w:b/>
          <w:bCs/>
          <w:lang w:val="en-GB"/>
        </w:rPr>
        <w:t>10</w:t>
      </w:r>
    </w:p>
    <w:p w14:paraId="491D02E6" w14:textId="1BC85449" w:rsidR="00171C04" w:rsidRPr="001E1601" w:rsidRDefault="006B4FB1" w:rsidP="00C30B5E">
      <w:pPr>
        <w:pStyle w:val="IPPParagraphnumbering"/>
        <w:tabs>
          <w:tab w:val="clear" w:pos="0"/>
          <w:tab w:val="right" w:leader="dot" w:pos="9072"/>
        </w:tabs>
        <w:ind w:firstLine="0"/>
        <w:rPr>
          <w:b/>
          <w:bCs/>
          <w:i/>
          <w:iCs/>
          <w:lang w:val="en-GB"/>
        </w:rPr>
      </w:pPr>
      <w:r w:rsidRPr="001E1601">
        <w:rPr>
          <w:rStyle w:val="PleaseReviewParagraphId"/>
          <w:lang w:val="en-GB"/>
        </w:rPr>
        <w:t>[96]</w:t>
      </w:r>
      <w:r w:rsidRPr="001E1601">
        <w:rPr>
          <w:lang w:val="en-GB"/>
        </w:rPr>
        <w:t>8. Empodial</w:t>
      </w:r>
      <w:r w:rsidRPr="001E1601">
        <w:rPr>
          <w:iCs/>
          <w:lang w:val="en-GB"/>
        </w:rPr>
        <w:t xml:space="preserve"> </w:t>
      </w:r>
      <w:r w:rsidRPr="001E1601">
        <w:rPr>
          <w:lang w:val="en-GB"/>
        </w:rPr>
        <w:t>claw ending in a single tip (</w:t>
      </w:r>
      <w:r w:rsidR="0061390E" w:rsidRPr="001E1601">
        <w:rPr>
          <w:lang w:val="en-GB"/>
        </w:rPr>
        <w:t>Figure</w:t>
      </w:r>
      <w:r w:rsidR="0089317E" w:rsidRPr="001E1601">
        <w:rPr>
          <w:lang w:val="en-GB"/>
        </w:rPr>
        <w:t> </w:t>
      </w:r>
      <w:r w:rsidR="0061390E" w:rsidRPr="001E1601">
        <w:rPr>
          <w:lang w:val="en-GB"/>
        </w:rPr>
        <w:t>7</w:t>
      </w:r>
      <w:r w:rsidR="00C21B96" w:rsidRPr="001E1601">
        <w:rPr>
          <w:lang w:val="en-GB"/>
        </w:rPr>
        <w:t xml:space="preserve">C </w:t>
      </w:r>
      <w:r w:rsidR="00C07C5D" w:rsidRPr="001E1601">
        <w:rPr>
          <w:lang w:val="en-GB"/>
        </w:rPr>
        <w:t xml:space="preserve">and </w:t>
      </w:r>
      <w:r w:rsidR="0089317E" w:rsidRPr="001E1601">
        <w:rPr>
          <w:lang w:val="en-GB"/>
        </w:rPr>
        <w:t>Figure </w:t>
      </w:r>
      <w:r w:rsidR="0068188A" w:rsidRPr="001E1601">
        <w:rPr>
          <w:lang w:val="en-GB"/>
        </w:rPr>
        <w:t>7</w:t>
      </w:r>
      <w:r w:rsidR="00C07C5D" w:rsidRPr="001E1601">
        <w:rPr>
          <w:lang w:val="en-GB"/>
        </w:rPr>
        <w:t>E</w:t>
      </w:r>
      <w:r w:rsidRPr="001E1601">
        <w:rPr>
          <w:lang w:val="en-GB"/>
        </w:rPr>
        <w:t>)</w:t>
      </w:r>
      <w:r w:rsidRPr="001E1601">
        <w:rPr>
          <w:lang w:val="en-GB"/>
        </w:rPr>
        <w:tab/>
      </w:r>
      <w:r w:rsidRPr="001E1601">
        <w:rPr>
          <w:b/>
          <w:bCs/>
          <w:lang w:val="en-GB"/>
        </w:rPr>
        <w:t>9</w:t>
      </w:r>
    </w:p>
    <w:p w14:paraId="491D02E7" w14:textId="7D04AF15"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[97]</w:t>
      </w:r>
      <w:r w:rsidRPr="001E1601">
        <w:rPr>
          <w:lang w:val="en-GB"/>
        </w:rPr>
        <w:t>– Empodial</w:t>
      </w:r>
      <w:r w:rsidRPr="001E1601">
        <w:rPr>
          <w:iCs/>
          <w:lang w:val="en-GB"/>
        </w:rPr>
        <w:t xml:space="preserve"> </w:t>
      </w:r>
      <w:r w:rsidRPr="001E1601">
        <w:rPr>
          <w:lang w:val="en-GB"/>
        </w:rPr>
        <w:t xml:space="preserve">claw </w:t>
      </w:r>
      <w:r w:rsidRPr="001E1601">
        <w:rPr>
          <w:iCs/>
          <w:lang w:val="en-GB"/>
        </w:rPr>
        <w:t xml:space="preserve">bifurcate </w:t>
      </w:r>
      <w:r w:rsidRPr="001E1601">
        <w:rPr>
          <w:lang w:val="en-GB"/>
        </w:rPr>
        <w:t>distally (Figure </w:t>
      </w:r>
      <w:r w:rsidR="0068188A" w:rsidRPr="001E1601">
        <w:rPr>
          <w:lang w:val="en-GB"/>
        </w:rPr>
        <w:t>7</w:t>
      </w:r>
      <w:r w:rsidRPr="001E1601">
        <w:rPr>
          <w:lang w:val="en-GB"/>
        </w:rPr>
        <w:t>F)</w:t>
      </w:r>
      <w:r w:rsidRPr="001E1601">
        <w:rPr>
          <w:lang w:val="en-GB"/>
        </w:rPr>
        <w:tab/>
      </w:r>
      <w:r w:rsidRPr="001E1601">
        <w:rPr>
          <w:b/>
          <w:bCs/>
          <w:i/>
          <w:lang w:val="en-GB"/>
        </w:rPr>
        <w:t>Schizotetranychus</w:t>
      </w:r>
      <w:r w:rsidRPr="001E1601">
        <w:rPr>
          <w:b/>
          <w:bCs/>
          <w:iCs/>
          <w:lang w:val="en-GB"/>
        </w:rPr>
        <w:t xml:space="preserve"> </w:t>
      </w:r>
      <w:r w:rsidRPr="001E1601">
        <w:rPr>
          <w:iCs/>
          <w:lang w:val="en-GB"/>
        </w:rPr>
        <w:t>Trägårdh</w:t>
      </w:r>
    </w:p>
    <w:p w14:paraId="491D02E8" w14:textId="58B7079E" w:rsidR="00171C04" w:rsidRPr="001E1601" w:rsidRDefault="006B4FB1" w:rsidP="00C30B5E">
      <w:pPr>
        <w:pStyle w:val="IPPParagraphnumbering"/>
        <w:tabs>
          <w:tab w:val="clear" w:pos="0"/>
          <w:tab w:val="right" w:leader="dot" w:pos="9072"/>
        </w:tabs>
        <w:ind w:firstLine="0"/>
        <w:rPr>
          <w:b/>
          <w:bCs/>
          <w:iCs/>
          <w:lang w:val="en-GB"/>
        </w:rPr>
      </w:pPr>
      <w:r w:rsidRPr="001E1601">
        <w:rPr>
          <w:rStyle w:val="PleaseReviewParagraphId"/>
          <w:lang w:val="en-GB"/>
        </w:rPr>
        <w:t>[98]</w:t>
      </w:r>
      <w:r w:rsidRPr="001E1601">
        <w:rPr>
          <w:lang w:val="en-GB"/>
        </w:rPr>
        <w:t>9. Dorsal idiosomal setae not on tubercles; empodial</w:t>
      </w:r>
      <w:r w:rsidRPr="001E1601">
        <w:rPr>
          <w:iCs/>
          <w:lang w:val="en-GB"/>
        </w:rPr>
        <w:t xml:space="preserve"> </w:t>
      </w:r>
      <w:r w:rsidRPr="001E1601">
        <w:rPr>
          <w:lang w:val="en-GB"/>
        </w:rPr>
        <w:t>claw shorter than proximoventral hairs</w:t>
      </w:r>
      <w:r w:rsidR="00FC05AC" w:rsidRPr="001E1601">
        <w:rPr>
          <w:lang w:val="en-GB"/>
        </w:rPr>
        <w:t xml:space="preserve"> (</w:t>
      </w:r>
      <w:r w:rsidR="00322679" w:rsidRPr="001E1601">
        <w:rPr>
          <w:lang w:val="en-GB"/>
        </w:rPr>
        <w:t>F</w:t>
      </w:r>
      <w:r w:rsidR="00FC05AC" w:rsidRPr="001E1601">
        <w:rPr>
          <w:lang w:val="en-GB"/>
        </w:rPr>
        <w:t>igure</w:t>
      </w:r>
      <w:r w:rsidR="00E2301F" w:rsidRPr="001E1601">
        <w:rPr>
          <w:lang w:val="en-GB"/>
        </w:rPr>
        <w:t> </w:t>
      </w:r>
      <w:r w:rsidR="0068188A" w:rsidRPr="001E1601">
        <w:rPr>
          <w:lang w:val="en-GB"/>
        </w:rPr>
        <w:t>7</w:t>
      </w:r>
      <w:r w:rsidR="00FC05AC" w:rsidRPr="001E1601">
        <w:rPr>
          <w:lang w:val="en-GB"/>
        </w:rPr>
        <w:t>I)</w:t>
      </w:r>
      <w:r w:rsidRPr="001E1601">
        <w:rPr>
          <w:lang w:val="en-GB"/>
        </w:rPr>
        <w:tab/>
      </w:r>
      <w:r w:rsidRPr="001E1601">
        <w:rPr>
          <w:b/>
          <w:bCs/>
          <w:i/>
          <w:lang w:val="en-GB"/>
        </w:rPr>
        <w:t>Allonychus</w:t>
      </w:r>
      <w:r w:rsidRPr="001E1601">
        <w:rPr>
          <w:iCs/>
          <w:lang w:val="en-GB"/>
        </w:rPr>
        <w:t xml:space="preserve"> </w:t>
      </w:r>
      <w:r w:rsidRPr="001E1601">
        <w:rPr>
          <w:lang w:val="en-GB"/>
        </w:rPr>
        <w:t>Pritchard</w:t>
      </w:r>
      <w:r w:rsidRPr="001E1601">
        <w:rPr>
          <w:iCs/>
          <w:lang w:val="en-GB"/>
        </w:rPr>
        <w:t xml:space="preserve"> and Baker </w:t>
      </w:r>
    </w:p>
    <w:p w14:paraId="491D02E9" w14:textId="37BDA4CA"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[99]</w:t>
      </w:r>
      <w:r w:rsidRPr="001E1601">
        <w:rPr>
          <w:lang w:val="en-GB"/>
        </w:rPr>
        <w:t>– Dorsal idiosomal setae on strong tubercles; empodial</w:t>
      </w:r>
      <w:r w:rsidRPr="001E1601">
        <w:rPr>
          <w:iCs/>
          <w:lang w:val="en-GB"/>
        </w:rPr>
        <w:t xml:space="preserve"> </w:t>
      </w:r>
      <w:r w:rsidRPr="001E1601">
        <w:rPr>
          <w:lang w:val="en-GB"/>
        </w:rPr>
        <w:t>claw longer than or as long as proximoventral hairs (Figure </w:t>
      </w:r>
      <w:r w:rsidR="0068188A" w:rsidRPr="001E1601">
        <w:rPr>
          <w:lang w:val="en-GB"/>
        </w:rPr>
        <w:t>7</w:t>
      </w:r>
      <w:r w:rsidRPr="001E1601">
        <w:rPr>
          <w:lang w:val="en-GB"/>
        </w:rPr>
        <w:t>E)</w:t>
      </w:r>
      <w:r w:rsidRPr="001E1601">
        <w:rPr>
          <w:lang w:val="en-GB"/>
        </w:rPr>
        <w:tab/>
      </w:r>
      <w:r w:rsidRPr="001E1601">
        <w:rPr>
          <w:b/>
          <w:bCs/>
          <w:i/>
          <w:lang w:val="en-GB"/>
        </w:rPr>
        <w:t>Panonychus</w:t>
      </w:r>
      <w:r w:rsidRPr="001E1601">
        <w:rPr>
          <w:iCs/>
          <w:lang w:val="en-GB"/>
        </w:rPr>
        <w:t xml:space="preserve"> </w:t>
      </w:r>
      <w:r w:rsidRPr="001E1601">
        <w:rPr>
          <w:lang w:val="en-GB"/>
        </w:rPr>
        <w:t>Yokoyama</w:t>
      </w:r>
    </w:p>
    <w:p w14:paraId="491D02EA" w14:textId="57B6F4C5" w:rsidR="00171C04" w:rsidRPr="001E1601" w:rsidRDefault="006B4FB1" w:rsidP="00C30B5E">
      <w:pPr>
        <w:pStyle w:val="IPPParagraphnumbering"/>
        <w:tabs>
          <w:tab w:val="clear" w:pos="0"/>
          <w:tab w:val="right" w:leader="dot" w:pos="9072"/>
        </w:tabs>
        <w:ind w:firstLine="0"/>
        <w:rPr>
          <w:i/>
          <w:iCs/>
          <w:lang w:val="en-GB"/>
        </w:rPr>
      </w:pPr>
      <w:r w:rsidRPr="001E1601">
        <w:rPr>
          <w:rStyle w:val="PleaseReviewParagraphId"/>
          <w:lang w:val="en-GB"/>
        </w:rPr>
        <w:t>[100]</w:t>
      </w:r>
      <w:r w:rsidRPr="001E1601">
        <w:rPr>
          <w:lang w:val="en-GB"/>
        </w:rPr>
        <w:t>10. </w:t>
      </w:r>
      <w:bookmarkStart w:id="38" w:name="_Hlk72233452"/>
      <w:r w:rsidRPr="001E1601">
        <w:rPr>
          <w:lang w:val="en-GB"/>
        </w:rPr>
        <w:t>Hysterosomal striae forming a basket-weave pattern (Figure </w:t>
      </w:r>
      <w:r w:rsidR="0073469D" w:rsidRPr="001E1601">
        <w:rPr>
          <w:lang w:val="en-GB"/>
        </w:rPr>
        <w:t>8</w:t>
      </w:r>
      <w:r w:rsidRPr="001E1601">
        <w:rPr>
          <w:lang w:val="en-GB"/>
        </w:rPr>
        <w:t xml:space="preserve">B) or </w:t>
      </w:r>
      <w:r w:rsidRPr="001E1601">
        <w:rPr>
          <w:bCs/>
          <w:lang w:val="en-GB"/>
        </w:rPr>
        <w:t xml:space="preserve">varying </w:t>
      </w:r>
      <w:r w:rsidRPr="001E1601">
        <w:rPr>
          <w:lang w:val="en-GB"/>
        </w:rPr>
        <w:t xml:space="preserve">from longitudinal to irregular between </w:t>
      </w:r>
      <w:r w:rsidR="00B9314E" w:rsidRPr="001E1601">
        <w:rPr>
          <w:lang w:val="en-GB"/>
        </w:rPr>
        <w:t xml:space="preserve">the two </w:t>
      </w:r>
      <w:r w:rsidRPr="001E1601">
        <w:rPr>
          <w:i/>
          <w:iCs/>
          <w:lang w:val="en-GB"/>
        </w:rPr>
        <w:t>e</w:t>
      </w:r>
      <w:r w:rsidRPr="00584267">
        <w:rPr>
          <w:i/>
          <w:iCs/>
          <w:vertAlign w:val="subscript"/>
          <w:lang w:val="en-GB"/>
        </w:rPr>
        <w:t>1</w:t>
      </w:r>
      <w:r w:rsidR="00A05446" w:rsidRPr="001E1601">
        <w:rPr>
          <w:lang w:val="en-GB"/>
        </w:rPr>
        <w:t xml:space="preserve"> </w:t>
      </w:r>
      <w:r w:rsidR="00B9314E" w:rsidRPr="001E1601">
        <w:rPr>
          <w:lang w:val="en-GB"/>
        </w:rPr>
        <w:t>setae</w:t>
      </w:r>
      <w:r w:rsidRPr="001E1601">
        <w:rPr>
          <w:lang w:val="en-GB"/>
        </w:rPr>
        <w:t>; dorsal idiosomal setae usually on tubercles</w:t>
      </w:r>
      <w:bookmarkEnd w:id="38"/>
      <w:r w:rsidRPr="001E1601">
        <w:rPr>
          <w:lang w:val="en-GB"/>
        </w:rPr>
        <w:t xml:space="preserve"> (Figure </w:t>
      </w:r>
      <w:r w:rsidR="0073469D" w:rsidRPr="001E1601">
        <w:rPr>
          <w:lang w:val="en-GB"/>
        </w:rPr>
        <w:t>8</w:t>
      </w:r>
      <w:r w:rsidR="006C07DA" w:rsidRPr="001E1601">
        <w:rPr>
          <w:lang w:val="en-GB"/>
        </w:rPr>
        <w:t>B</w:t>
      </w:r>
      <w:r w:rsidRPr="001E1601">
        <w:rPr>
          <w:lang w:val="en-GB"/>
        </w:rPr>
        <w:t>)</w:t>
      </w:r>
      <w:r w:rsidRPr="001E1601">
        <w:rPr>
          <w:lang w:val="en-GB"/>
        </w:rPr>
        <w:tab/>
      </w:r>
      <w:r w:rsidRPr="001E1601">
        <w:rPr>
          <w:b/>
          <w:bCs/>
          <w:lang w:val="en-GB"/>
        </w:rPr>
        <w:t>11</w:t>
      </w:r>
    </w:p>
    <w:p w14:paraId="491D02EB" w14:textId="77777777"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[101]</w:t>
      </w:r>
      <w:r w:rsidRPr="001E1601">
        <w:rPr>
          <w:lang w:val="en-GB"/>
        </w:rPr>
        <w:t>– Hysterosomal striae transverse; dorsal idiosomal setae not on tubercles</w:t>
      </w:r>
      <w:r w:rsidRPr="001E1601">
        <w:rPr>
          <w:lang w:val="en-GB"/>
        </w:rPr>
        <w:tab/>
      </w:r>
      <w:r w:rsidRPr="001E1601">
        <w:rPr>
          <w:b/>
          <w:bCs/>
          <w:i/>
          <w:lang w:val="en-GB"/>
        </w:rPr>
        <w:t>Eotetranychus</w:t>
      </w:r>
      <w:r w:rsidRPr="001E1601">
        <w:rPr>
          <w:iCs/>
          <w:lang w:val="en-GB"/>
        </w:rPr>
        <w:t xml:space="preserve"> Oudemans</w:t>
      </w:r>
    </w:p>
    <w:p w14:paraId="491D02EC" w14:textId="77777777"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[102]</w:t>
      </w:r>
      <w:r w:rsidRPr="001E1601">
        <w:rPr>
          <w:lang w:val="en-GB"/>
        </w:rPr>
        <w:t>11. </w:t>
      </w:r>
      <w:bookmarkStart w:id="39" w:name="_Hlk72226892"/>
      <w:r w:rsidRPr="001E1601">
        <w:rPr>
          <w:lang w:val="en-GB"/>
        </w:rPr>
        <w:t>Hysterosomal striae not forming a basket-weave (grouped granulation) pattern</w:t>
      </w:r>
      <w:bookmarkEnd w:id="39"/>
      <w:r w:rsidRPr="001E1601">
        <w:rPr>
          <w:lang w:val="en-GB"/>
        </w:rPr>
        <w:t xml:space="preserve"> (Figure 3)</w:t>
      </w:r>
      <w:r w:rsidRPr="001E1601">
        <w:rPr>
          <w:lang w:val="en-GB"/>
        </w:rPr>
        <w:tab/>
      </w:r>
      <w:r w:rsidRPr="001E1601">
        <w:rPr>
          <w:b/>
          <w:bCs/>
          <w:i/>
          <w:lang w:val="en-GB"/>
        </w:rPr>
        <w:t>Mononychellus</w:t>
      </w:r>
      <w:r w:rsidRPr="001E1601">
        <w:rPr>
          <w:b/>
          <w:bCs/>
          <w:iCs/>
          <w:lang w:val="en-GB"/>
        </w:rPr>
        <w:t xml:space="preserve"> </w:t>
      </w:r>
      <w:r w:rsidRPr="001E1601">
        <w:rPr>
          <w:iCs/>
          <w:lang w:val="en-GB"/>
        </w:rPr>
        <w:t>Wainstein</w:t>
      </w:r>
    </w:p>
    <w:p w14:paraId="491D02ED" w14:textId="27412B36" w:rsidR="00171C04" w:rsidRPr="001E1601" w:rsidRDefault="006B4FB1" w:rsidP="00C30B5E">
      <w:pPr>
        <w:pStyle w:val="IPPParagraphnumbering"/>
        <w:tabs>
          <w:tab w:val="clear" w:pos="0"/>
          <w:tab w:val="right" w:leader="dot" w:pos="9072"/>
        </w:tabs>
        <w:ind w:firstLine="0"/>
        <w:rPr>
          <w:iCs/>
          <w:lang w:val="en-GB"/>
        </w:rPr>
      </w:pPr>
      <w:r w:rsidRPr="001E1601">
        <w:rPr>
          <w:rStyle w:val="PleaseReviewParagraphId"/>
          <w:lang w:val="en-GB"/>
        </w:rPr>
        <w:t>[103]</w:t>
      </w:r>
      <w:r w:rsidRPr="001E1601">
        <w:rPr>
          <w:lang w:val="en-GB"/>
        </w:rPr>
        <w:t>– Hysterosomal striae forming a basket-weave pattern (Figure </w:t>
      </w:r>
      <w:r w:rsidR="00797533" w:rsidRPr="001E1601">
        <w:rPr>
          <w:lang w:val="en-GB"/>
        </w:rPr>
        <w:t>8</w:t>
      </w:r>
      <w:r w:rsidR="00085D93" w:rsidRPr="001E1601">
        <w:rPr>
          <w:lang w:val="en-GB"/>
        </w:rPr>
        <w:t>B</w:t>
      </w:r>
      <w:r w:rsidRPr="001E1601">
        <w:rPr>
          <w:lang w:val="en-GB"/>
        </w:rPr>
        <w:t>)</w:t>
      </w:r>
      <w:r w:rsidRPr="001E1601">
        <w:rPr>
          <w:lang w:val="en-GB"/>
        </w:rPr>
        <w:tab/>
      </w:r>
      <w:bookmarkStart w:id="40" w:name="_Hlk88164620"/>
      <w:r w:rsidRPr="001E1601">
        <w:rPr>
          <w:b/>
          <w:bCs/>
          <w:i/>
          <w:lang w:val="en-GB"/>
        </w:rPr>
        <w:t>Neotetranychus</w:t>
      </w:r>
      <w:r w:rsidRPr="001E1601">
        <w:rPr>
          <w:i/>
          <w:lang w:val="en-GB"/>
        </w:rPr>
        <w:t xml:space="preserve"> </w:t>
      </w:r>
      <w:bookmarkEnd w:id="40"/>
      <w:r w:rsidRPr="001E1601">
        <w:rPr>
          <w:iCs/>
          <w:lang w:val="en-GB"/>
        </w:rPr>
        <w:t>Trägårdh</w:t>
      </w:r>
    </w:p>
    <w:p w14:paraId="491D02EE" w14:textId="77777777" w:rsidR="00171C04" w:rsidRPr="001E1601" w:rsidRDefault="006B4FB1">
      <w:pPr>
        <w:pStyle w:val="IPPHeading2"/>
      </w:pPr>
      <w:r w:rsidRPr="001E1601">
        <w:rPr>
          <w:rStyle w:val="PleaseReviewParagraphId"/>
          <w:b w:val="0"/>
        </w:rPr>
        <w:t>[104]</w:t>
      </w:r>
      <w:r w:rsidRPr="001E1601">
        <w:t>4.4</w:t>
      </w:r>
      <w:r w:rsidRPr="001E1601">
        <w:tab/>
        <w:t xml:space="preserve">Morphological characters of the genus </w:t>
      </w:r>
      <w:r w:rsidRPr="001E1601">
        <w:rPr>
          <w:i/>
          <w:iCs/>
        </w:rPr>
        <w:t>Mononychellus</w:t>
      </w:r>
      <w:r w:rsidRPr="001E1601">
        <w:t xml:space="preserve"> Wainstein</w:t>
      </w:r>
    </w:p>
    <w:p w14:paraId="491D02EF" w14:textId="22B94778" w:rsidR="00171C04" w:rsidRPr="001E1601" w:rsidRDefault="006B4FB1" w:rsidP="00584267">
      <w:pPr>
        <w:pStyle w:val="IPPParagraphnumbering"/>
        <w:tabs>
          <w:tab w:val="clear" w:pos="0"/>
        </w:tabs>
        <w:ind w:firstLine="0"/>
        <w:rPr>
          <w:lang w:val="en-GB"/>
        </w:rPr>
      </w:pPr>
      <w:r w:rsidRPr="001E1601">
        <w:rPr>
          <w:rStyle w:val="PleaseReviewParagraphId"/>
          <w:lang w:val="en-GB"/>
        </w:rPr>
        <w:t>[105]</w:t>
      </w:r>
      <w:r w:rsidRPr="001E1601">
        <w:rPr>
          <w:lang w:val="en-GB"/>
        </w:rPr>
        <w:t>The genus includes 31 species worldwide, which can be recognized by the following character</w:t>
      </w:r>
      <w:r w:rsidR="00A5643A" w:rsidRPr="001E1601">
        <w:rPr>
          <w:lang w:val="en-GB"/>
        </w:rPr>
        <w:t>istic</w:t>
      </w:r>
      <w:r w:rsidRPr="001E1601">
        <w:rPr>
          <w:lang w:val="en-GB"/>
        </w:rPr>
        <w:t>s</w:t>
      </w:r>
      <w:r w:rsidR="00433AFE" w:rsidRPr="001E1601">
        <w:rPr>
          <w:lang w:val="en-GB"/>
        </w:rPr>
        <w:t>.</w:t>
      </w:r>
    </w:p>
    <w:p w14:paraId="491D02F0" w14:textId="716D1503" w:rsidR="00171C04" w:rsidRPr="001E1601" w:rsidRDefault="006B4FB1" w:rsidP="00C30B5E">
      <w:pPr>
        <w:pStyle w:val="IPPParagraphnumberingclose"/>
        <w:tabs>
          <w:tab w:val="clear" w:pos="0"/>
        </w:tabs>
        <w:ind w:firstLine="0"/>
        <w:rPr>
          <w:lang w:val="en-GB"/>
        </w:rPr>
      </w:pPr>
      <w:r w:rsidRPr="001E1601">
        <w:rPr>
          <w:rStyle w:val="PleaseReviewParagraphId"/>
          <w:lang w:val="en-GB"/>
        </w:rPr>
        <w:t>[106]</w:t>
      </w:r>
      <w:r w:rsidR="00433AFE" w:rsidRPr="001E1601">
        <w:rPr>
          <w:lang w:val="en-GB"/>
        </w:rPr>
        <w:t>For a</w:t>
      </w:r>
      <w:r w:rsidRPr="001E1601">
        <w:rPr>
          <w:lang w:val="en-GB"/>
        </w:rPr>
        <w:t>dult female</w:t>
      </w:r>
      <w:r w:rsidR="00433AFE" w:rsidRPr="001E1601">
        <w:rPr>
          <w:lang w:val="en-GB"/>
        </w:rPr>
        <w:t>s, the characteristics are</w:t>
      </w:r>
      <w:r w:rsidRPr="001E1601">
        <w:rPr>
          <w:lang w:val="en-GB"/>
        </w:rPr>
        <w:t>:</w:t>
      </w:r>
    </w:p>
    <w:p w14:paraId="491D02F1" w14:textId="0B1B5BE5" w:rsidR="00171C04" w:rsidRPr="001E1601" w:rsidRDefault="006B4FB1">
      <w:pPr>
        <w:pStyle w:val="IPPBullet1"/>
        <w:rPr>
          <w:iCs/>
          <w:lang w:val="en-GB"/>
        </w:rPr>
      </w:pPr>
      <w:r w:rsidRPr="001E1601">
        <w:rPr>
          <w:rStyle w:val="PleaseReviewParagraphId"/>
          <w:lang w:val="en-GB"/>
        </w:rPr>
        <w:t>[107]</w:t>
      </w:r>
      <w:r w:rsidRPr="001E1601">
        <w:rPr>
          <w:lang w:val="en-GB"/>
        </w:rPr>
        <w:t xml:space="preserve">prodorsum mostly striated (Figure 3A, </w:t>
      </w:r>
      <w:r w:rsidR="0089317E" w:rsidRPr="001E1601">
        <w:rPr>
          <w:lang w:val="en-GB"/>
        </w:rPr>
        <w:t>Figure </w:t>
      </w:r>
      <w:r w:rsidR="0040034A" w:rsidRPr="001E1601">
        <w:rPr>
          <w:lang w:val="en-GB"/>
        </w:rPr>
        <w:t>9A</w:t>
      </w:r>
      <w:r w:rsidRPr="001E1601">
        <w:rPr>
          <w:lang w:val="en-GB"/>
        </w:rPr>
        <w:t xml:space="preserve">, </w:t>
      </w:r>
      <w:r w:rsidR="0089317E" w:rsidRPr="001E1601">
        <w:rPr>
          <w:lang w:val="en-GB"/>
        </w:rPr>
        <w:t>Figure </w:t>
      </w:r>
      <w:r w:rsidR="0040034A" w:rsidRPr="001E1601">
        <w:rPr>
          <w:lang w:val="en-GB"/>
        </w:rPr>
        <w:t>9B</w:t>
      </w:r>
      <w:r w:rsidRPr="001E1601">
        <w:rPr>
          <w:lang w:val="en-GB"/>
        </w:rPr>
        <w:t xml:space="preserve">, </w:t>
      </w:r>
      <w:r w:rsidR="0089317E" w:rsidRPr="001E1601">
        <w:rPr>
          <w:lang w:val="en-GB"/>
        </w:rPr>
        <w:t>Figure </w:t>
      </w:r>
      <w:r w:rsidR="0040034A" w:rsidRPr="001E1601">
        <w:rPr>
          <w:lang w:val="en-GB"/>
        </w:rPr>
        <w:t>9D</w:t>
      </w:r>
      <w:r w:rsidR="0089317E" w:rsidRPr="001E1601">
        <w:rPr>
          <w:lang w:val="en-GB"/>
        </w:rPr>
        <w:t xml:space="preserve"> and</w:t>
      </w:r>
      <w:r w:rsidRPr="001E1601">
        <w:rPr>
          <w:lang w:val="en-GB"/>
        </w:rPr>
        <w:t xml:space="preserve"> </w:t>
      </w:r>
      <w:r w:rsidR="0089317E" w:rsidRPr="001E1601">
        <w:rPr>
          <w:lang w:val="en-GB"/>
        </w:rPr>
        <w:t>Figure </w:t>
      </w:r>
      <w:r w:rsidR="0040034A" w:rsidRPr="001E1601">
        <w:rPr>
          <w:lang w:val="en-GB"/>
        </w:rPr>
        <w:t>9F</w:t>
      </w:r>
      <w:r w:rsidRPr="001E1601">
        <w:rPr>
          <w:lang w:val="en-GB"/>
        </w:rPr>
        <w:t xml:space="preserve">) or medially finely reticulate </w:t>
      </w:r>
      <w:r w:rsidRPr="001E1601">
        <w:rPr>
          <w:iCs/>
          <w:lang w:val="en-GB"/>
        </w:rPr>
        <w:t>and dotted (</w:t>
      </w:r>
      <w:r w:rsidRPr="001E1601">
        <w:rPr>
          <w:lang w:val="en-GB"/>
        </w:rPr>
        <w:t>Figure </w:t>
      </w:r>
      <w:r w:rsidR="0040034A" w:rsidRPr="001E1601">
        <w:rPr>
          <w:lang w:val="en-GB"/>
        </w:rPr>
        <w:t xml:space="preserve">9C </w:t>
      </w:r>
      <w:r w:rsidRPr="001E1601">
        <w:rPr>
          <w:lang w:val="en-GB"/>
        </w:rPr>
        <w:t>and Figure </w:t>
      </w:r>
      <w:r w:rsidR="0040034A" w:rsidRPr="001E1601">
        <w:rPr>
          <w:lang w:val="en-GB"/>
        </w:rPr>
        <w:t>9E</w:t>
      </w:r>
      <w:r w:rsidRPr="001E1601">
        <w:rPr>
          <w:iCs/>
          <w:lang w:val="en-GB"/>
        </w:rPr>
        <w:t>);</w:t>
      </w:r>
    </w:p>
    <w:p w14:paraId="491D02F2" w14:textId="5A9B6107" w:rsidR="00171C04" w:rsidRPr="001E1601" w:rsidRDefault="006B4FB1">
      <w:pPr>
        <w:pStyle w:val="IPPBullet1"/>
        <w:rPr>
          <w:lang w:val="en-GB"/>
        </w:rPr>
      </w:pPr>
      <w:r w:rsidRPr="001E1601">
        <w:rPr>
          <w:rStyle w:val="PleaseReviewParagraphId"/>
          <w:lang w:val="en-GB"/>
        </w:rPr>
        <w:t>[108]</w:t>
      </w:r>
      <w:r w:rsidRPr="001E1601">
        <w:rPr>
          <w:lang w:val="en-GB"/>
        </w:rPr>
        <w:t>dorsal idiosomal setae linear or slightly expanded apically or proximately, usually on tubercles (Figure </w:t>
      </w:r>
      <w:r w:rsidR="008420DE" w:rsidRPr="001E1601">
        <w:rPr>
          <w:lang w:val="en-GB"/>
        </w:rPr>
        <w:t>10C</w:t>
      </w:r>
      <w:r w:rsidR="0089317E" w:rsidRPr="001E1601">
        <w:rPr>
          <w:lang w:val="en-GB"/>
        </w:rPr>
        <w:t xml:space="preserve"> to Figure 10</w:t>
      </w:r>
      <w:r w:rsidRPr="001E1601">
        <w:rPr>
          <w:lang w:val="en-GB"/>
        </w:rPr>
        <w:t xml:space="preserve">E) (with exceptions, e.g. in </w:t>
      </w:r>
      <w:r w:rsidRPr="001E1601">
        <w:rPr>
          <w:i/>
          <w:lang w:val="en-GB"/>
        </w:rPr>
        <w:t>M. tanajoa</w:t>
      </w:r>
      <w:r w:rsidRPr="001E1601">
        <w:rPr>
          <w:lang w:val="en-GB"/>
        </w:rPr>
        <w:t>);</w:t>
      </w:r>
    </w:p>
    <w:p w14:paraId="491D02F3" w14:textId="77777777" w:rsidR="00171C04" w:rsidRPr="001E1601" w:rsidRDefault="006B4FB1">
      <w:pPr>
        <w:pStyle w:val="IPPBullet1"/>
        <w:rPr>
          <w:lang w:val="en-GB"/>
        </w:rPr>
      </w:pPr>
      <w:r w:rsidRPr="001E1601">
        <w:rPr>
          <w:rStyle w:val="PleaseReviewParagraphId"/>
          <w:lang w:val="en-GB"/>
        </w:rPr>
        <w:t>[109]</w:t>
      </w:r>
      <w:r w:rsidRPr="001E1601">
        <w:rPr>
          <w:lang w:val="en-GB"/>
        </w:rPr>
        <w:t xml:space="preserve">three pairs of </w:t>
      </w:r>
      <w:r w:rsidRPr="001E1601">
        <w:rPr>
          <w:i/>
          <w:iCs/>
          <w:lang w:val="en-GB"/>
        </w:rPr>
        <w:t>h</w:t>
      </w:r>
      <w:r w:rsidRPr="001E1601">
        <w:rPr>
          <w:lang w:val="en-GB"/>
        </w:rPr>
        <w:t xml:space="preserve"> setae and two pairs of pseudanal (</w:t>
      </w:r>
      <w:r w:rsidRPr="001E1601">
        <w:rPr>
          <w:i/>
          <w:iCs/>
          <w:lang w:val="en-GB"/>
        </w:rPr>
        <w:t>ps</w:t>
      </w:r>
      <w:r w:rsidRPr="001E1601">
        <w:rPr>
          <w:lang w:val="en-GB"/>
        </w:rPr>
        <w:t>) setae present (Figure 3B);</w:t>
      </w:r>
    </w:p>
    <w:p w14:paraId="491D02F4" w14:textId="39D823DF" w:rsidR="00171C04" w:rsidRPr="001E1601" w:rsidRDefault="006B4FB1">
      <w:pPr>
        <w:pStyle w:val="IPPBullet1"/>
        <w:rPr>
          <w:lang w:val="en-GB"/>
        </w:rPr>
      </w:pPr>
      <w:r w:rsidRPr="001E1601">
        <w:rPr>
          <w:rStyle w:val="PleaseReviewParagraphId"/>
          <w:lang w:val="en-GB"/>
        </w:rPr>
        <w:t>[110]</w:t>
      </w:r>
      <w:r w:rsidRPr="001E1601">
        <w:rPr>
          <w:lang w:val="en-GB"/>
        </w:rPr>
        <w:t xml:space="preserve">striae between </w:t>
      </w:r>
      <w:r w:rsidR="00B9314E" w:rsidRPr="001E1601">
        <w:rPr>
          <w:lang w:val="en-GB"/>
        </w:rPr>
        <w:t xml:space="preserve">the two </w:t>
      </w:r>
      <w:r w:rsidRPr="001E1601">
        <w:rPr>
          <w:i/>
          <w:iCs/>
          <w:lang w:val="en-GB"/>
        </w:rPr>
        <w:t>e</w:t>
      </w:r>
      <w:r w:rsidRPr="001E1601">
        <w:rPr>
          <w:i/>
          <w:iCs/>
          <w:vertAlign w:val="subscript"/>
          <w:lang w:val="en-GB"/>
        </w:rPr>
        <w:t>1</w:t>
      </w:r>
      <w:r w:rsidR="008707FF" w:rsidRPr="001E1601">
        <w:rPr>
          <w:lang w:val="en-GB"/>
        </w:rPr>
        <w:t xml:space="preserve"> </w:t>
      </w:r>
      <w:r w:rsidR="00B9314E" w:rsidRPr="001E1601">
        <w:rPr>
          <w:lang w:val="en-GB"/>
        </w:rPr>
        <w:t>setae</w:t>
      </w:r>
      <w:r w:rsidRPr="001E1601">
        <w:rPr>
          <w:lang w:val="en-GB"/>
        </w:rPr>
        <w:t xml:space="preserve"> variable, from oblique to longitudinal </w:t>
      </w:r>
      <w:r w:rsidRPr="001E1601">
        <w:rPr>
          <w:iCs/>
          <w:lang w:val="en-GB"/>
        </w:rPr>
        <w:t>(</w:t>
      </w:r>
      <w:r w:rsidRPr="001E1601">
        <w:rPr>
          <w:lang w:val="en-GB"/>
        </w:rPr>
        <w:t>Figure </w:t>
      </w:r>
      <w:r w:rsidR="00E72581" w:rsidRPr="001E1601">
        <w:rPr>
          <w:lang w:val="en-GB"/>
        </w:rPr>
        <w:t>10</w:t>
      </w:r>
      <w:r w:rsidRPr="001E1601">
        <w:rPr>
          <w:lang w:val="en-GB"/>
        </w:rPr>
        <w:t>);</w:t>
      </w:r>
    </w:p>
    <w:p w14:paraId="491D02F5" w14:textId="31FD97C9" w:rsidR="00171C04" w:rsidRPr="001E1601" w:rsidRDefault="006B4FB1">
      <w:pPr>
        <w:pStyle w:val="IPPBullet1"/>
        <w:rPr>
          <w:lang w:val="en-GB"/>
        </w:rPr>
      </w:pPr>
      <w:r w:rsidRPr="001E1601">
        <w:rPr>
          <w:rStyle w:val="PleaseReviewParagraphId"/>
          <w:lang w:val="en-GB"/>
        </w:rPr>
        <w:t>[111]</w:t>
      </w:r>
      <w:r w:rsidRPr="001E1601">
        <w:rPr>
          <w:iCs/>
          <w:lang w:val="en-GB"/>
        </w:rPr>
        <w:t xml:space="preserve">pregenital striae </w:t>
      </w:r>
      <w:r w:rsidRPr="001E1601">
        <w:rPr>
          <w:bCs/>
          <w:lang w:val="en-GB"/>
        </w:rPr>
        <w:t xml:space="preserve">varying </w:t>
      </w:r>
      <w:r w:rsidRPr="001E1601">
        <w:rPr>
          <w:iCs/>
          <w:lang w:val="en-GB"/>
        </w:rPr>
        <w:t xml:space="preserve">from </w:t>
      </w:r>
      <w:r w:rsidRPr="001E1601">
        <w:rPr>
          <w:lang w:val="en-GB"/>
        </w:rPr>
        <w:t>procurved to transverse (Figure </w:t>
      </w:r>
      <w:r w:rsidR="0093475A" w:rsidRPr="001E1601">
        <w:rPr>
          <w:lang w:val="en-GB"/>
        </w:rPr>
        <w:t>11</w:t>
      </w:r>
      <w:r w:rsidRPr="001E1601">
        <w:rPr>
          <w:lang w:val="en-GB"/>
        </w:rPr>
        <w:t>)</w:t>
      </w:r>
    </w:p>
    <w:p w14:paraId="491D02F6" w14:textId="5AC927D0" w:rsidR="00171C04" w:rsidRPr="001E1601" w:rsidRDefault="006B4FB1">
      <w:pPr>
        <w:pStyle w:val="IPPBullet1"/>
        <w:rPr>
          <w:lang w:val="en-GB"/>
        </w:rPr>
      </w:pPr>
      <w:r w:rsidRPr="001E1601">
        <w:rPr>
          <w:rStyle w:val="PleaseReviewParagraphId"/>
          <w:lang w:val="en-GB"/>
        </w:rPr>
        <w:t>[112]</w:t>
      </w:r>
      <w:r w:rsidRPr="001E1601">
        <w:rPr>
          <w:lang w:val="en-GB"/>
        </w:rPr>
        <w:t>palpal terminal eupathidium (</w:t>
      </w:r>
      <w:r w:rsidRPr="001E1601">
        <w:rPr>
          <w:bCs/>
          <w:lang w:val="en-GB"/>
        </w:rPr>
        <w:t>spinneret</w:t>
      </w:r>
      <w:r w:rsidRPr="001E1601">
        <w:rPr>
          <w:lang w:val="en-GB"/>
        </w:rPr>
        <w:t xml:space="preserve">) </w:t>
      </w:r>
      <w:r w:rsidRPr="001E1601">
        <w:rPr>
          <w:bCs/>
          <w:lang w:val="en-GB"/>
        </w:rPr>
        <w:t xml:space="preserve">varying </w:t>
      </w:r>
      <w:r w:rsidRPr="001E1601">
        <w:rPr>
          <w:lang w:val="en-GB"/>
        </w:rPr>
        <w:t>from as long as wide to 2.5× as long as wide (</w:t>
      </w:r>
      <w:r w:rsidR="00E31FC1" w:rsidRPr="001E1601">
        <w:rPr>
          <w:lang w:val="en-GB"/>
        </w:rPr>
        <w:t xml:space="preserve">Figure 5B and </w:t>
      </w:r>
      <w:r w:rsidRPr="001E1601">
        <w:rPr>
          <w:lang w:val="en-GB"/>
        </w:rPr>
        <w:t>Figure </w:t>
      </w:r>
      <w:r w:rsidR="001D6CBA" w:rsidRPr="001E1601">
        <w:rPr>
          <w:lang w:val="en-GB"/>
        </w:rPr>
        <w:t>12</w:t>
      </w:r>
      <w:r w:rsidRPr="001E1601">
        <w:rPr>
          <w:lang w:val="en-GB"/>
        </w:rPr>
        <w:t>);</w:t>
      </w:r>
    </w:p>
    <w:p w14:paraId="491D02F7" w14:textId="37E2143E" w:rsidR="00171C04" w:rsidRPr="001E1601" w:rsidRDefault="006B4FB1">
      <w:pPr>
        <w:pStyle w:val="IPPBullet1"/>
        <w:rPr>
          <w:lang w:val="en-GB"/>
        </w:rPr>
      </w:pPr>
      <w:r w:rsidRPr="001E1601">
        <w:rPr>
          <w:rStyle w:val="PleaseReviewParagraphId"/>
          <w:lang w:val="en-GB"/>
        </w:rPr>
        <w:t>[113]</w:t>
      </w:r>
      <w:r w:rsidRPr="001E1601">
        <w:rPr>
          <w:lang w:val="en-GB"/>
        </w:rPr>
        <w:t xml:space="preserve">tarsus I with two sets of distal duplex setae adjacent to each other in </w:t>
      </w:r>
      <w:r w:rsidR="00472E80" w:rsidRPr="001E1601">
        <w:rPr>
          <w:lang w:val="en-GB"/>
        </w:rPr>
        <w:t xml:space="preserve">the </w:t>
      </w:r>
      <w:r w:rsidRPr="001E1601">
        <w:rPr>
          <w:lang w:val="en-GB"/>
        </w:rPr>
        <w:t xml:space="preserve">distal part of </w:t>
      </w:r>
      <w:r w:rsidR="00472E80" w:rsidRPr="001E1601">
        <w:rPr>
          <w:lang w:val="en-GB"/>
        </w:rPr>
        <w:t xml:space="preserve">the </w:t>
      </w:r>
      <w:r w:rsidRPr="001E1601">
        <w:rPr>
          <w:lang w:val="en-GB"/>
        </w:rPr>
        <w:t>segment, and four (rarely five) tactile setae and one solenidion (rarely none or three) in proximal part (Figure </w:t>
      </w:r>
      <w:r w:rsidR="00F01AC8" w:rsidRPr="001E1601">
        <w:rPr>
          <w:lang w:val="en-GB"/>
        </w:rPr>
        <w:t>6A</w:t>
      </w:r>
      <w:r w:rsidRPr="001E1601">
        <w:rPr>
          <w:lang w:val="en-GB"/>
        </w:rPr>
        <w:t>);</w:t>
      </w:r>
    </w:p>
    <w:p w14:paraId="491D02F8" w14:textId="778658CD" w:rsidR="00171C04" w:rsidRPr="001E1601" w:rsidRDefault="006B4FB1">
      <w:pPr>
        <w:pStyle w:val="IPPBullet1"/>
        <w:rPr>
          <w:lang w:val="en-GB"/>
        </w:rPr>
      </w:pPr>
      <w:r w:rsidRPr="001E1601">
        <w:rPr>
          <w:rStyle w:val="PleaseReviewParagraphId"/>
          <w:lang w:val="en-GB"/>
        </w:rPr>
        <w:lastRenderedPageBreak/>
        <w:t>[114]</w:t>
      </w:r>
      <w:r w:rsidRPr="001E1601">
        <w:rPr>
          <w:lang w:val="en-GB"/>
        </w:rPr>
        <w:t>tibia I with eight or nine (rarely 12) tactile setae and one solenidion (rarely four) (Figure </w:t>
      </w:r>
      <w:r w:rsidR="00F01AC8" w:rsidRPr="001E1601">
        <w:rPr>
          <w:lang w:val="en-GB"/>
        </w:rPr>
        <w:t>6</w:t>
      </w:r>
      <w:r w:rsidRPr="001E1601">
        <w:rPr>
          <w:lang w:val="en-GB"/>
        </w:rPr>
        <w:t>A);</w:t>
      </w:r>
    </w:p>
    <w:p w14:paraId="491D02F9" w14:textId="61548D26" w:rsidR="00171C04" w:rsidRPr="001E1601" w:rsidRDefault="006B4FB1">
      <w:pPr>
        <w:pStyle w:val="IPPBullet1"/>
        <w:rPr>
          <w:lang w:val="en-GB"/>
        </w:rPr>
      </w:pPr>
      <w:r w:rsidRPr="001E1601">
        <w:rPr>
          <w:rStyle w:val="PleaseReviewParagraphId"/>
          <w:lang w:val="en-GB"/>
        </w:rPr>
        <w:t>[115]</w:t>
      </w:r>
      <w:r w:rsidRPr="001E1601">
        <w:rPr>
          <w:lang w:val="en-GB"/>
        </w:rPr>
        <w:t>tarsus II with three tactile setae and one solenidion in proximal part (Figure </w:t>
      </w:r>
      <w:r w:rsidR="00626CC4" w:rsidRPr="001E1601">
        <w:rPr>
          <w:lang w:val="en-GB"/>
        </w:rPr>
        <w:t>6</w:t>
      </w:r>
      <w:r w:rsidRPr="001E1601">
        <w:rPr>
          <w:lang w:val="en-GB"/>
        </w:rPr>
        <w:t>B); and</w:t>
      </w:r>
    </w:p>
    <w:p w14:paraId="491D02FA" w14:textId="52743C62" w:rsidR="00171C04" w:rsidRPr="001E1601" w:rsidRDefault="006B4FB1" w:rsidP="00584267">
      <w:pPr>
        <w:pStyle w:val="IPPBullet1Last"/>
      </w:pPr>
      <w:r w:rsidRPr="001E1601">
        <w:rPr>
          <w:rStyle w:val="PleaseReviewParagraphId"/>
        </w:rPr>
        <w:t>[116]</w:t>
      </w:r>
      <w:r w:rsidRPr="001E1601">
        <w:t>tibia II with seven (rarely six) tactile setae (Figure </w:t>
      </w:r>
      <w:r w:rsidR="00F01AC8" w:rsidRPr="001E1601">
        <w:t>6B</w:t>
      </w:r>
      <w:r w:rsidRPr="001E1601">
        <w:t>)</w:t>
      </w:r>
      <w:r w:rsidR="00F3723D" w:rsidRPr="001E1601">
        <w:t>.</w:t>
      </w:r>
    </w:p>
    <w:p w14:paraId="491D02FB" w14:textId="268BED15" w:rsidR="00171C04" w:rsidRPr="001E1601" w:rsidRDefault="006B4FB1">
      <w:pPr>
        <w:pStyle w:val="IPPBullet1"/>
        <w:numPr>
          <w:ilvl w:val="0"/>
          <w:numId w:val="0"/>
        </w:numPr>
        <w:rPr>
          <w:lang w:val="en-GB"/>
        </w:rPr>
      </w:pPr>
      <w:r w:rsidRPr="001E1601">
        <w:rPr>
          <w:rStyle w:val="PleaseReviewParagraphId"/>
          <w:lang w:val="en-GB"/>
        </w:rPr>
        <w:t>[117]</w:t>
      </w:r>
      <w:r w:rsidR="00433AFE" w:rsidRPr="001E1601">
        <w:rPr>
          <w:lang w:val="en-GB"/>
        </w:rPr>
        <w:t>For a</w:t>
      </w:r>
      <w:r w:rsidRPr="001E1601">
        <w:rPr>
          <w:lang w:val="en-GB"/>
        </w:rPr>
        <w:t>dult male</w:t>
      </w:r>
      <w:r w:rsidR="00433AFE" w:rsidRPr="001E1601">
        <w:rPr>
          <w:lang w:val="en-GB"/>
        </w:rPr>
        <w:t>s, the characteristics are</w:t>
      </w:r>
      <w:r w:rsidRPr="001E1601">
        <w:rPr>
          <w:lang w:val="en-GB"/>
        </w:rPr>
        <w:t>:</w:t>
      </w:r>
    </w:p>
    <w:p w14:paraId="491D02FC" w14:textId="252DC138" w:rsidR="00171C04" w:rsidRPr="001E1601" w:rsidRDefault="006B4FB1">
      <w:pPr>
        <w:pStyle w:val="IPPBullet1"/>
        <w:rPr>
          <w:lang w:val="en-GB"/>
        </w:rPr>
      </w:pPr>
      <w:r w:rsidRPr="001E1601">
        <w:rPr>
          <w:rStyle w:val="PleaseReviewParagraphId"/>
          <w:lang w:val="en-GB"/>
        </w:rPr>
        <w:t>[118]</w:t>
      </w:r>
      <w:bookmarkStart w:id="41" w:name="_Hlk72317401"/>
      <w:r w:rsidRPr="001E1601">
        <w:rPr>
          <w:iCs/>
          <w:lang w:val="en-GB"/>
        </w:rPr>
        <w:t>g</w:t>
      </w:r>
      <w:r w:rsidRPr="001E1601">
        <w:rPr>
          <w:lang w:val="en-GB"/>
        </w:rPr>
        <w:t>enito-anal valves with four pairs of setae (</w:t>
      </w:r>
      <w:r w:rsidRPr="001E1601">
        <w:rPr>
          <w:i/>
          <w:iCs/>
          <w:lang w:val="en-GB"/>
        </w:rPr>
        <w:t>g</w:t>
      </w:r>
      <w:r w:rsidRPr="001E1601">
        <w:rPr>
          <w:lang w:val="en-GB"/>
        </w:rPr>
        <w:t xml:space="preserve"> and </w:t>
      </w:r>
      <w:r w:rsidRPr="001E1601">
        <w:rPr>
          <w:i/>
          <w:iCs/>
          <w:lang w:val="en-GB"/>
        </w:rPr>
        <w:t>ps</w:t>
      </w:r>
      <w:r w:rsidRPr="001E1601">
        <w:rPr>
          <w:lang w:val="en-GB"/>
        </w:rPr>
        <w:t xml:space="preserve">) </w:t>
      </w:r>
      <w:bookmarkEnd w:id="41"/>
      <w:r w:rsidRPr="001E1601">
        <w:rPr>
          <w:lang w:val="en-GB"/>
        </w:rPr>
        <w:t>(Figure </w:t>
      </w:r>
      <w:r w:rsidR="00F01AC8" w:rsidRPr="001E1601">
        <w:rPr>
          <w:lang w:val="en-GB"/>
        </w:rPr>
        <w:t>8A</w:t>
      </w:r>
      <w:r w:rsidRPr="001E1601">
        <w:rPr>
          <w:lang w:val="en-GB"/>
        </w:rPr>
        <w:t>);</w:t>
      </w:r>
    </w:p>
    <w:p w14:paraId="491D02FD" w14:textId="784CF22D" w:rsidR="00171C04" w:rsidRPr="001E1601" w:rsidRDefault="39225D59">
      <w:pPr>
        <w:pStyle w:val="IPPBullet1"/>
        <w:rPr>
          <w:lang w:val="en-GB"/>
        </w:rPr>
      </w:pPr>
      <w:r w:rsidRPr="001E1601">
        <w:rPr>
          <w:rStyle w:val="PleaseReviewParagraphId"/>
          <w:lang w:val="en-GB"/>
        </w:rPr>
        <w:t>[119]</w:t>
      </w:r>
      <w:r w:rsidRPr="001E1601">
        <w:rPr>
          <w:lang w:val="en-GB"/>
        </w:rPr>
        <w:t>aedeagus with shaft mostly straight, slender, bending upward or downward apically, forming a narrow neck, with a small, usually subtriangular knob (Figure </w:t>
      </w:r>
      <w:r w:rsidR="001A721A" w:rsidRPr="001E1601">
        <w:rPr>
          <w:lang w:val="en-GB"/>
        </w:rPr>
        <w:t xml:space="preserve">13 </w:t>
      </w:r>
      <w:r w:rsidRPr="001E1601">
        <w:rPr>
          <w:lang w:val="en-GB"/>
        </w:rPr>
        <w:t>and Figure 14</w:t>
      </w:r>
      <w:r w:rsidR="00E2301F" w:rsidRPr="001E1601">
        <w:rPr>
          <w:lang w:val="en-GB"/>
        </w:rPr>
        <w:t>)</w:t>
      </w:r>
      <w:r w:rsidRPr="001E1601">
        <w:rPr>
          <w:lang w:val="en-GB"/>
        </w:rPr>
        <w:t>;</w:t>
      </w:r>
    </w:p>
    <w:p w14:paraId="491D02FE" w14:textId="77777777" w:rsidR="00171C04" w:rsidRPr="001E1601" w:rsidRDefault="006B4FB1">
      <w:pPr>
        <w:pStyle w:val="IPPBullet1"/>
        <w:rPr>
          <w:lang w:val="en-GB"/>
        </w:rPr>
      </w:pPr>
      <w:r w:rsidRPr="001E1601">
        <w:rPr>
          <w:rStyle w:val="PleaseReviewParagraphId"/>
          <w:lang w:val="en-GB"/>
        </w:rPr>
        <w:t>[120]</w:t>
      </w:r>
      <w:r w:rsidRPr="001E1601">
        <w:rPr>
          <w:lang w:val="en-GB"/>
        </w:rPr>
        <w:t>palp with terminal eupathidium slightly tapered;</w:t>
      </w:r>
    </w:p>
    <w:p w14:paraId="491D02FF" w14:textId="77777777" w:rsidR="00171C04" w:rsidRPr="001E1601" w:rsidRDefault="006B4FB1">
      <w:pPr>
        <w:pStyle w:val="IPPBullet1"/>
        <w:rPr>
          <w:lang w:val="en-GB"/>
        </w:rPr>
      </w:pPr>
      <w:r w:rsidRPr="001E1601">
        <w:rPr>
          <w:rStyle w:val="PleaseReviewParagraphId"/>
          <w:lang w:val="en-GB"/>
        </w:rPr>
        <w:t>[121]</w:t>
      </w:r>
      <w:r w:rsidRPr="001E1601">
        <w:rPr>
          <w:lang w:val="en-GB"/>
        </w:rPr>
        <w:t>tarsus I with three or four tactile setae and two to four solenidia in proximal part;</w:t>
      </w:r>
    </w:p>
    <w:p w14:paraId="491D0300" w14:textId="77777777" w:rsidR="00171C04" w:rsidRPr="001E1601" w:rsidRDefault="006B4FB1">
      <w:pPr>
        <w:pStyle w:val="IPPBullet1"/>
        <w:rPr>
          <w:lang w:val="en-GB"/>
        </w:rPr>
      </w:pPr>
      <w:r w:rsidRPr="001E1601">
        <w:rPr>
          <w:rStyle w:val="PleaseReviewParagraphId"/>
          <w:lang w:val="en-GB"/>
        </w:rPr>
        <w:t>[122]</w:t>
      </w:r>
      <w:r w:rsidRPr="001E1601">
        <w:rPr>
          <w:lang w:val="en-GB"/>
        </w:rPr>
        <w:t>tibia I with eight or nine (rarely 12) tactile setae and three or four solenidia;</w:t>
      </w:r>
    </w:p>
    <w:p w14:paraId="491D0301" w14:textId="77777777" w:rsidR="00171C04" w:rsidRPr="001E1601" w:rsidRDefault="006B4FB1">
      <w:pPr>
        <w:pStyle w:val="IPPBullet1"/>
        <w:rPr>
          <w:lang w:val="en-GB"/>
        </w:rPr>
      </w:pPr>
      <w:r w:rsidRPr="001E1601">
        <w:rPr>
          <w:rStyle w:val="PleaseReviewParagraphId"/>
          <w:lang w:val="en-GB"/>
        </w:rPr>
        <w:t>[123]</w:t>
      </w:r>
      <w:r w:rsidRPr="001E1601">
        <w:rPr>
          <w:lang w:val="en-GB"/>
        </w:rPr>
        <w:t>tarsus II with three tactile setae and one solenidion in proximal part; and</w:t>
      </w:r>
    </w:p>
    <w:p w14:paraId="491D0302" w14:textId="77777777" w:rsidR="00171C04" w:rsidRPr="001E1601" w:rsidRDefault="006B4FB1">
      <w:pPr>
        <w:pStyle w:val="IPPBullet1Last"/>
      </w:pPr>
      <w:r w:rsidRPr="001E1601">
        <w:rPr>
          <w:rStyle w:val="PleaseReviewParagraphId"/>
        </w:rPr>
        <w:t>[124]</w:t>
      </w:r>
      <w:r w:rsidRPr="001E1601">
        <w:t>tibia II with seven tactile setae.</w:t>
      </w:r>
    </w:p>
    <w:p w14:paraId="491D0303" w14:textId="2E6F1922" w:rsidR="00171C04" w:rsidRPr="001E1601" w:rsidRDefault="006B4FB1">
      <w:pPr>
        <w:pStyle w:val="IPPHeading2"/>
      </w:pPr>
      <w:r w:rsidRPr="001E1601">
        <w:rPr>
          <w:rStyle w:val="PleaseReviewParagraphId"/>
          <w:b w:val="0"/>
        </w:rPr>
        <w:t>[125]</w:t>
      </w:r>
      <w:r w:rsidRPr="001E1601">
        <w:t>4.5</w:t>
      </w:r>
      <w:r w:rsidRPr="001E1601">
        <w:tab/>
      </w:r>
      <w:r w:rsidR="00AE5480" w:rsidRPr="001E1601">
        <w:t xml:space="preserve">Dichotomous </w:t>
      </w:r>
      <w:r w:rsidR="007443EF" w:rsidRPr="001E1601">
        <w:t>k</w:t>
      </w:r>
      <w:r w:rsidRPr="001E1601">
        <w:t xml:space="preserve">ey to species of </w:t>
      </w:r>
      <w:r w:rsidRPr="001E1601">
        <w:rPr>
          <w:i/>
          <w:iCs/>
        </w:rPr>
        <w:t>Mononychellus</w:t>
      </w:r>
      <w:r w:rsidRPr="001E1601">
        <w:t xml:space="preserve"> </w:t>
      </w:r>
      <w:bookmarkStart w:id="42" w:name="_Hlk64136393"/>
      <w:bookmarkEnd w:id="42"/>
      <w:r w:rsidRPr="001E1601">
        <w:t xml:space="preserve">on </w:t>
      </w:r>
      <w:r w:rsidRPr="001E1601">
        <w:rPr>
          <w:i/>
          <w:iCs/>
        </w:rPr>
        <w:t>Manihot</w:t>
      </w:r>
      <w:bookmarkStart w:id="43" w:name="_Hlk61421136"/>
      <w:bookmarkEnd w:id="43"/>
      <w:r w:rsidRPr="001E1601">
        <w:t xml:space="preserve"> spp. based on </w:t>
      </w:r>
      <w:r w:rsidR="00472E80" w:rsidRPr="001E1601">
        <w:t>females</w:t>
      </w:r>
    </w:p>
    <w:p w14:paraId="491D0304" w14:textId="77777777" w:rsidR="00171C04" w:rsidRPr="001E1601" w:rsidRDefault="006B4FB1" w:rsidP="00C30B5E">
      <w:pPr>
        <w:pStyle w:val="IPPParagraphnumbering"/>
        <w:tabs>
          <w:tab w:val="clear" w:pos="0"/>
        </w:tabs>
        <w:ind w:firstLine="0"/>
        <w:rPr>
          <w:lang w:val="en-GB"/>
        </w:rPr>
      </w:pPr>
      <w:r w:rsidRPr="001E1601">
        <w:rPr>
          <w:rStyle w:val="PleaseReviewParagraphId"/>
          <w:lang w:val="en-GB"/>
        </w:rPr>
        <w:t>[126]</w:t>
      </w:r>
      <w:r w:rsidRPr="001E1601">
        <w:rPr>
          <w:lang w:val="en-GB"/>
        </w:rPr>
        <w:t xml:space="preserve">Eight species of </w:t>
      </w:r>
      <w:r w:rsidRPr="001E1601">
        <w:rPr>
          <w:i/>
          <w:iCs/>
          <w:lang w:val="en-GB"/>
        </w:rPr>
        <w:t>Mononychellus</w:t>
      </w:r>
      <w:r w:rsidRPr="001E1601">
        <w:rPr>
          <w:lang w:val="en-GB"/>
        </w:rPr>
        <w:t xml:space="preserve"> have been recorded from </w:t>
      </w:r>
      <w:r w:rsidRPr="001E1601">
        <w:rPr>
          <w:i/>
          <w:iCs/>
          <w:lang w:val="en-GB"/>
        </w:rPr>
        <w:t xml:space="preserve">Manihot </w:t>
      </w:r>
      <w:r w:rsidRPr="001E1601">
        <w:rPr>
          <w:lang w:val="en-GB"/>
        </w:rPr>
        <w:t>spp. (Flechtmann and de Queiroz, 2015; Migeon and Dorkeld, 2021) and can be differentiated by using the following key.</w:t>
      </w:r>
    </w:p>
    <w:p w14:paraId="491D0305" w14:textId="0B7B53AE" w:rsidR="00171C04" w:rsidRPr="001E1601" w:rsidRDefault="39225D59" w:rsidP="00C30B5E">
      <w:pPr>
        <w:pStyle w:val="IPPParagraphnumbering"/>
        <w:tabs>
          <w:tab w:val="clear" w:pos="0"/>
          <w:tab w:val="right" w:leader="dot" w:pos="9072"/>
        </w:tabs>
        <w:ind w:firstLine="0"/>
        <w:rPr>
          <w:lang w:val="en-GB"/>
        </w:rPr>
      </w:pPr>
      <w:r w:rsidRPr="001E1601">
        <w:rPr>
          <w:rStyle w:val="PleaseReviewParagraphId"/>
          <w:lang w:val="en-GB"/>
        </w:rPr>
        <w:t>[127]</w:t>
      </w:r>
      <w:r w:rsidRPr="001E1601">
        <w:rPr>
          <w:lang w:val="en-GB"/>
        </w:rPr>
        <w:t>1. </w:t>
      </w:r>
      <w:bookmarkStart w:id="44" w:name="_Hlk72325056"/>
      <w:r w:rsidRPr="001E1601">
        <w:rPr>
          <w:lang w:val="en-GB"/>
        </w:rPr>
        <w:t xml:space="preserve">Prodorsum finely reticulate </w:t>
      </w:r>
      <w:bookmarkEnd w:id="44"/>
      <w:r w:rsidRPr="001E1601">
        <w:rPr>
          <w:lang w:val="en-GB"/>
        </w:rPr>
        <w:t>medially (Figure </w:t>
      </w:r>
      <w:r w:rsidR="00316B98" w:rsidRPr="001E1601">
        <w:rPr>
          <w:lang w:val="en-GB"/>
        </w:rPr>
        <w:t xml:space="preserve">9C </w:t>
      </w:r>
      <w:r w:rsidRPr="001E1601">
        <w:rPr>
          <w:lang w:val="en-GB"/>
        </w:rPr>
        <w:t>and</w:t>
      </w:r>
      <w:r w:rsidR="0089317E" w:rsidRPr="001E1601">
        <w:rPr>
          <w:lang w:val="en-GB"/>
        </w:rPr>
        <w:t xml:space="preserve"> Figure</w:t>
      </w:r>
      <w:r w:rsidRPr="001E1601">
        <w:rPr>
          <w:lang w:val="en-GB"/>
        </w:rPr>
        <w:t> </w:t>
      </w:r>
      <w:r w:rsidR="00316B98" w:rsidRPr="001E1601">
        <w:rPr>
          <w:lang w:val="en-GB"/>
        </w:rPr>
        <w:t>9E</w:t>
      </w:r>
      <w:r w:rsidRPr="001E1601">
        <w:rPr>
          <w:lang w:val="en-GB"/>
        </w:rPr>
        <w:t xml:space="preserve">); </w:t>
      </w:r>
      <w:r w:rsidR="001716FA" w:rsidRPr="001E1601">
        <w:rPr>
          <w:lang w:val="en-GB"/>
        </w:rPr>
        <w:t>most hysterosomal</w:t>
      </w:r>
      <w:r w:rsidRPr="001E1601">
        <w:rPr>
          <w:lang w:val="en-GB"/>
        </w:rPr>
        <w:t xml:space="preserve"> setae (</w:t>
      </w:r>
      <w:bookmarkStart w:id="45" w:name="_Hlk103154666"/>
      <w:r w:rsidRPr="001E1601">
        <w:rPr>
          <w:i/>
          <w:iCs/>
          <w:lang w:val="en-GB"/>
        </w:rPr>
        <w:t>c</w:t>
      </w:r>
      <w:r w:rsidRPr="001E1601">
        <w:rPr>
          <w:i/>
          <w:iCs/>
          <w:vertAlign w:val="subscript"/>
          <w:lang w:val="en-GB"/>
        </w:rPr>
        <w:t>1</w:t>
      </w:r>
      <w:r w:rsidRPr="001E1601">
        <w:rPr>
          <w:lang w:val="en-GB"/>
        </w:rPr>
        <w:t xml:space="preserve">, </w:t>
      </w:r>
      <w:r w:rsidRPr="001E1601">
        <w:rPr>
          <w:i/>
          <w:iCs/>
          <w:lang w:val="en-GB"/>
        </w:rPr>
        <w:t>c</w:t>
      </w:r>
      <w:r w:rsidRPr="001E1601">
        <w:rPr>
          <w:i/>
          <w:iCs/>
          <w:vertAlign w:val="subscript"/>
          <w:lang w:val="en-GB"/>
        </w:rPr>
        <w:t>2</w:t>
      </w:r>
      <w:r w:rsidRPr="001E1601">
        <w:rPr>
          <w:lang w:val="en-GB"/>
        </w:rPr>
        <w:t xml:space="preserve">, </w:t>
      </w:r>
      <w:r w:rsidRPr="001E1601">
        <w:rPr>
          <w:i/>
          <w:iCs/>
          <w:lang w:val="en-GB"/>
        </w:rPr>
        <w:t>d</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2</w:t>
      </w:r>
      <w:r w:rsidRPr="001E1601">
        <w:rPr>
          <w:lang w:val="en-GB"/>
        </w:rPr>
        <w:t xml:space="preserve">, </w:t>
      </w:r>
      <w:r w:rsidRPr="001E1601">
        <w:rPr>
          <w:i/>
          <w:iCs/>
          <w:lang w:val="en-GB"/>
        </w:rPr>
        <w:t>e</w:t>
      </w:r>
      <w:r w:rsidRPr="001E1601">
        <w:rPr>
          <w:i/>
          <w:iCs/>
          <w:vertAlign w:val="subscript"/>
          <w:lang w:val="en-GB"/>
        </w:rPr>
        <w:t>1</w:t>
      </w:r>
      <w:r w:rsidRPr="001E1601">
        <w:rPr>
          <w:lang w:val="en-GB"/>
        </w:rPr>
        <w:t xml:space="preserve">, </w:t>
      </w:r>
      <w:r w:rsidRPr="001E1601">
        <w:rPr>
          <w:i/>
          <w:iCs/>
          <w:lang w:val="en-GB"/>
        </w:rPr>
        <w:t>e</w:t>
      </w:r>
      <w:r w:rsidRPr="001E1601">
        <w:rPr>
          <w:i/>
          <w:iCs/>
          <w:vertAlign w:val="subscript"/>
          <w:lang w:val="en-GB"/>
        </w:rPr>
        <w:t>2</w:t>
      </w:r>
      <w:r w:rsidRPr="001E1601">
        <w:rPr>
          <w:lang w:val="en-GB"/>
        </w:rPr>
        <w:t xml:space="preserve">, </w:t>
      </w:r>
      <w:r w:rsidRPr="001E1601">
        <w:rPr>
          <w:i/>
          <w:iCs/>
          <w:lang w:val="en-GB"/>
        </w:rPr>
        <w:t>f</w:t>
      </w:r>
      <w:r w:rsidRPr="001E1601">
        <w:rPr>
          <w:i/>
          <w:iCs/>
          <w:vertAlign w:val="subscript"/>
          <w:lang w:val="en-GB"/>
        </w:rPr>
        <w:t>1</w:t>
      </w:r>
      <w:r w:rsidRPr="001E1601">
        <w:rPr>
          <w:lang w:val="en-GB"/>
        </w:rPr>
        <w:t xml:space="preserve">, </w:t>
      </w:r>
      <w:r w:rsidRPr="001E1601">
        <w:rPr>
          <w:i/>
          <w:iCs/>
          <w:lang w:val="en-GB"/>
        </w:rPr>
        <w:t>f</w:t>
      </w:r>
      <w:r w:rsidRPr="001E1601">
        <w:rPr>
          <w:i/>
          <w:iCs/>
          <w:vertAlign w:val="subscript"/>
          <w:lang w:val="en-GB"/>
        </w:rPr>
        <w:t>2</w:t>
      </w:r>
      <w:r w:rsidRPr="00584267">
        <w:rPr>
          <w:lang w:val="en-GB"/>
        </w:rPr>
        <w:t>,</w:t>
      </w:r>
      <w:r w:rsidRPr="001E1601">
        <w:rPr>
          <w:lang w:val="en-GB"/>
        </w:rPr>
        <w:t xml:space="preserve"> </w:t>
      </w:r>
      <w:r w:rsidRPr="001E1601">
        <w:rPr>
          <w:i/>
          <w:iCs/>
          <w:lang w:val="en-GB"/>
        </w:rPr>
        <w:t>h</w:t>
      </w:r>
      <w:r w:rsidRPr="001E1601">
        <w:rPr>
          <w:i/>
          <w:iCs/>
          <w:vertAlign w:val="subscript"/>
          <w:lang w:val="en-GB"/>
        </w:rPr>
        <w:t>1</w:t>
      </w:r>
      <w:r w:rsidRPr="001E1601">
        <w:rPr>
          <w:lang w:val="en-GB"/>
        </w:rPr>
        <w:t>)</w:t>
      </w:r>
      <w:bookmarkEnd w:id="45"/>
      <w:r w:rsidRPr="001E1601">
        <w:rPr>
          <w:lang w:val="en-GB"/>
        </w:rPr>
        <w:t xml:space="preserve"> with a finely reticulated area around </w:t>
      </w:r>
      <w:r w:rsidR="001716FA" w:rsidRPr="001E1601">
        <w:rPr>
          <w:lang w:val="en-GB"/>
        </w:rPr>
        <w:t xml:space="preserve">the </w:t>
      </w:r>
      <w:r w:rsidRPr="001E1601">
        <w:rPr>
          <w:lang w:val="en-GB"/>
        </w:rPr>
        <w:t>setal base (Figure </w:t>
      </w:r>
      <w:r w:rsidR="00316B98" w:rsidRPr="001E1601">
        <w:rPr>
          <w:lang w:val="en-GB"/>
        </w:rPr>
        <w:t xml:space="preserve">10C </w:t>
      </w:r>
      <w:r w:rsidRPr="001E1601">
        <w:rPr>
          <w:lang w:val="en-GB"/>
        </w:rPr>
        <w:t>and Figure </w:t>
      </w:r>
      <w:r w:rsidR="006B4FB1" w:rsidRPr="001E1601">
        <w:rPr>
          <w:lang w:val="en-GB"/>
        </w:rPr>
        <w:t>10E</w:t>
      </w:r>
      <w:r w:rsidRPr="001E1601">
        <w:rPr>
          <w:lang w:val="en-GB"/>
        </w:rPr>
        <w:t>)</w:t>
      </w:r>
      <w:r w:rsidR="006B4FB1" w:rsidRPr="001E1601">
        <w:rPr>
          <w:lang w:val="en-GB"/>
        </w:rPr>
        <w:tab/>
      </w:r>
      <w:r w:rsidRPr="001E1601">
        <w:rPr>
          <w:b/>
          <w:bCs/>
          <w:lang w:val="en-GB"/>
        </w:rPr>
        <w:t>2</w:t>
      </w:r>
    </w:p>
    <w:p w14:paraId="491D0306" w14:textId="39FA1DE4"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[128]</w:t>
      </w:r>
      <w:r w:rsidRPr="001E1601">
        <w:rPr>
          <w:lang w:val="en-GB"/>
        </w:rPr>
        <w:t>– Prodorsum mostly striated (Figure </w:t>
      </w:r>
      <w:r w:rsidR="00D16A00" w:rsidRPr="001E1601">
        <w:rPr>
          <w:lang w:val="en-GB"/>
        </w:rPr>
        <w:t>9A</w:t>
      </w:r>
      <w:r w:rsidRPr="001E1601">
        <w:rPr>
          <w:lang w:val="en-GB"/>
        </w:rPr>
        <w:t xml:space="preserve">, </w:t>
      </w:r>
      <w:r w:rsidR="0089317E" w:rsidRPr="001E1601">
        <w:rPr>
          <w:lang w:val="en-GB"/>
        </w:rPr>
        <w:t>Figure </w:t>
      </w:r>
      <w:r w:rsidR="00D16A00" w:rsidRPr="001E1601">
        <w:rPr>
          <w:lang w:val="en-GB"/>
        </w:rPr>
        <w:t>9B</w:t>
      </w:r>
      <w:r w:rsidRPr="001E1601">
        <w:rPr>
          <w:lang w:val="en-GB"/>
        </w:rPr>
        <w:t xml:space="preserve">, </w:t>
      </w:r>
      <w:r w:rsidR="0089317E" w:rsidRPr="001E1601">
        <w:rPr>
          <w:lang w:val="en-GB"/>
        </w:rPr>
        <w:t>Figure </w:t>
      </w:r>
      <w:r w:rsidR="00D16A00" w:rsidRPr="001E1601">
        <w:rPr>
          <w:lang w:val="en-GB"/>
        </w:rPr>
        <w:t>9D</w:t>
      </w:r>
      <w:r w:rsidR="0089317E" w:rsidRPr="001E1601">
        <w:rPr>
          <w:lang w:val="en-GB"/>
        </w:rPr>
        <w:t xml:space="preserve"> and</w:t>
      </w:r>
      <w:r w:rsidRPr="001E1601">
        <w:rPr>
          <w:lang w:val="en-GB"/>
        </w:rPr>
        <w:t xml:space="preserve"> </w:t>
      </w:r>
      <w:r w:rsidR="0089317E" w:rsidRPr="001E1601">
        <w:rPr>
          <w:lang w:val="en-GB"/>
        </w:rPr>
        <w:t>Figure </w:t>
      </w:r>
      <w:r w:rsidR="00D16A00" w:rsidRPr="001E1601">
        <w:rPr>
          <w:lang w:val="en-GB"/>
        </w:rPr>
        <w:t>9F</w:t>
      </w:r>
      <w:r w:rsidRPr="001E1601">
        <w:rPr>
          <w:lang w:val="en-GB"/>
        </w:rPr>
        <w:t xml:space="preserve">); area surrounding </w:t>
      </w:r>
      <w:r w:rsidR="001716FA" w:rsidRPr="001E1601">
        <w:rPr>
          <w:lang w:val="en-GB"/>
        </w:rPr>
        <w:t xml:space="preserve">the </w:t>
      </w:r>
      <w:r w:rsidRPr="001E1601">
        <w:rPr>
          <w:lang w:val="en-GB"/>
        </w:rPr>
        <w:t xml:space="preserve">base of </w:t>
      </w:r>
      <w:r w:rsidR="00EA3684" w:rsidRPr="001E1601">
        <w:rPr>
          <w:lang w:val="en-GB"/>
        </w:rPr>
        <w:t xml:space="preserve">each </w:t>
      </w:r>
      <w:r w:rsidRPr="001E1601">
        <w:rPr>
          <w:lang w:val="en-GB"/>
        </w:rPr>
        <w:t>hysterosomal seta merely striated, not reticulate (Figure </w:t>
      </w:r>
      <w:r w:rsidR="005B6184" w:rsidRPr="001E1601">
        <w:rPr>
          <w:lang w:val="en-GB"/>
        </w:rPr>
        <w:t>10A</w:t>
      </w:r>
      <w:r w:rsidRPr="001E1601">
        <w:rPr>
          <w:lang w:val="en-GB"/>
        </w:rPr>
        <w:t xml:space="preserve">, </w:t>
      </w:r>
      <w:r w:rsidR="0089317E" w:rsidRPr="001E1601">
        <w:rPr>
          <w:lang w:val="en-GB"/>
        </w:rPr>
        <w:t>Figure </w:t>
      </w:r>
      <w:r w:rsidR="005B6184" w:rsidRPr="001E1601">
        <w:rPr>
          <w:lang w:val="en-GB"/>
        </w:rPr>
        <w:t>10B</w:t>
      </w:r>
      <w:r w:rsidRPr="001E1601">
        <w:rPr>
          <w:lang w:val="en-GB"/>
        </w:rPr>
        <w:t xml:space="preserve">, </w:t>
      </w:r>
      <w:r w:rsidR="0089317E" w:rsidRPr="001E1601">
        <w:rPr>
          <w:lang w:val="en-GB"/>
        </w:rPr>
        <w:t>Figure </w:t>
      </w:r>
      <w:r w:rsidR="005B6184" w:rsidRPr="001E1601">
        <w:rPr>
          <w:lang w:val="en-GB"/>
        </w:rPr>
        <w:t>10D</w:t>
      </w:r>
      <w:r w:rsidRPr="001E1601">
        <w:rPr>
          <w:lang w:val="en-GB"/>
        </w:rPr>
        <w:t xml:space="preserve"> </w:t>
      </w:r>
      <w:r w:rsidR="0089317E" w:rsidRPr="001E1601">
        <w:rPr>
          <w:lang w:val="en-GB"/>
        </w:rPr>
        <w:t>and Figure </w:t>
      </w:r>
      <w:r w:rsidR="005B6184" w:rsidRPr="001E1601">
        <w:rPr>
          <w:lang w:val="en-GB"/>
        </w:rPr>
        <w:t>10F</w:t>
      </w:r>
      <w:r w:rsidRPr="001E1601">
        <w:rPr>
          <w:lang w:val="en-GB"/>
        </w:rPr>
        <w:t>)</w:t>
      </w:r>
      <w:r w:rsidRPr="001E1601">
        <w:rPr>
          <w:lang w:val="en-GB"/>
        </w:rPr>
        <w:tab/>
      </w:r>
      <w:r w:rsidRPr="001E1601">
        <w:rPr>
          <w:b/>
          <w:bCs/>
          <w:lang w:val="en-GB"/>
        </w:rPr>
        <w:t>3</w:t>
      </w:r>
    </w:p>
    <w:p w14:paraId="491D0307" w14:textId="415EA62B" w:rsidR="00171C04" w:rsidRPr="001E1601" w:rsidRDefault="006B4FB1" w:rsidP="007F2B71">
      <w:pPr>
        <w:pStyle w:val="IPPParagraphnumbering"/>
        <w:tabs>
          <w:tab w:val="clear" w:pos="0"/>
          <w:tab w:val="right" w:leader="dot" w:pos="9072"/>
        </w:tabs>
        <w:ind w:firstLine="0"/>
        <w:rPr>
          <w:lang w:val="en-GB"/>
        </w:rPr>
      </w:pPr>
      <w:r w:rsidRPr="001E1601">
        <w:rPr>
          <w:rStyle w:val="PleaseReviewParagraphId"/>
          <w:lang w:val="en-GB"/>
        </w:rPr>
        <w:t>[129]</w:t>
      </w:r>
      <w:r w:rsidRPr="001E1601">
        <w:rPr>
          <w:lang w:val="en-GB"/>
        </w:rPr>
        <w:t xml:space="preserve">2. Tarsus I with three solenidia and four tactile setae in proximal part; seta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not reaching base of </w:t>
      </w:r>
      <w:r w:rsidRPr="001E1601">
        <w:rPr>
          <w:i/>
          <w:iCs/>
          <w:lang w:val="en-GB"/>
        </w:rPr>
        <w:t>e</w:t>
      </w:r>
      <w:r w:rsidRPr="00584267">
        <w:rPr>
          <w:i/>
          <w:iCs/>
          <w:vertAlign w:val="subscript"/>
          <w:lang w:val="en-GB"/>
        </w:rPr>
        <w:t>1</w:t>
      </w:r>
      <w:r w:rsidRPr="001E1601">
        <w:rPr>
          <w:lang w:val="en-GB"/>
        </w:rPr>
        <w:t xml:space="preserve"> (Figure </w:t>
      </w:r>
      <w:r w:rsidR="008879C8" w:rsidRPr="001E1601">
        <w:rPr>
          <w:lang w:val="en-GB"/>
        </w:rPr>
        <w:t>10C</w:t>
      </w:r>
      <w:r w:rsidRPr="001E1601">
        <w:rPr>
          <w:lang w:val="en-GB"/>
        </w:rPr>
        <w:t xml:space="preserve">); reticulated area around </w:t>
      </w:r>
      <w:r w:rsidR="004E2229">
        <w:rPr>
          <w:lang w:val="en-GB"/>
        </w:rPr>
        <w:t xml:space="preserve">the </w:t>
      </w:r>
      <w:r w:rsidRPr="001E1601">
        <w:rPr>
          <w:lang w:val="en-GB"/>
        </w:rPr>
        <w:t>hysterosomal seta</w:t>
      </w:r>
      <w:r w:rsidR="004E2229">
        <w:rPr>
          <w:lang w:val="en-GB"/>
        </w:rPr>
        <w:t>e</w:t>
      </w:r>
      <w:r w:rsidRPr="001E1601">
        <w:rPr>
          <w:lang w:val="en-GB"/>
        </w:rPr>
        <w:t xml:space="preserve"> small, well isolated from each</w:t>
      </w:r>
      <w:r w:rsidR="00E17ECB">
        <w:rPr>
          <w:lang w:val="en-GB"/>
        </w:rPr>
        <w:t xml:space="preserve"> other</w:t>
      </w:r>
      <w:r w:rsidRPr="001E1601">
        <w:rPr>
          <w:lang w:val="en-GB"/>
        </w:rPr>
        <w:t xml:space="preserve"> </w:t>
      </w:r>
      <w:r w:rsidR="00AB1A75">
        <w:rPr>
          <w:lang w:val="en-GB"/>
        </w:rPr>
        <w:t>s</w:t>
      </w:r>
      <w:r w:rsidRPr="001E1601">
        <w:rPr>
          <w:lang w:val="en-GB"/>
        </w:rPr>
        <w:t xml:space="preserve"> (Figure </w:t>
      </w:r>
      <w:r w:rsidR="008879C8" w:rsidRPr="001E1601">
        <w:rPr>
          <w:lang w:val="en-GB"/>
        </w:rPr>
        <w:t>10C</w:t>
      </w:r>
      <w:r w:rsidRPr="001E1601">
        <w:rPr>
          <w:lang w:val="en-GB"/>
        </w:rPr>
        <w:t>)</w:t>
      </w:r>
      <w:r w:rsidRPr="001E1601">
        <w:rPr>
          <w:lang w:val="en-GB"/>
        </w:rPr>
        <w:tab/>
      </w:r>
      <w:r w:rsidRPr="001E1601">
        <w:rPr>
          <w:b/>
          <w:bCs/>
          <w:i/>
          <w:lang w:val="en-GB"/>
        </w:rPr>
        <w:t>M. chemosetosus</w:t>
      </w:r>
      <w:r w:rsidRPr="001E1601">
        <w:rPr>
          <w:lang w:val="en-GB"/>
        </w:rPr>
        <w:t xml:space="preserve"> (Paschoal, 1970)</w:t>
      </w:r>
    </w:p>
    <w:p w14:paraId="491D0308" w14:textId="4672D48B"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[130]</w:t>
      </w:r>
      <w:r w:rsidRPr="001E1601">
        <w:rPr>
          <w:lang w:val="en-GB"/>
        </w:rPr>
        <w:t xml:space="preserve">– Tarsus I with one solenidion and four tactile setae in proximal part; seta </w:t>
      </w:r>
      <w:r w:rsidRPr="001E1601">
        <w:rPr>
          <w:i/>
          <w:iCs/>
          <w:lang w:val="en-GB"/>
        </w:rPr>
        <w:t>d</w:t>
      </w:r>
      <w:r w:rsidRPr="001E1601">
        <w:rPr>
          <w:i/>
          <w:iCs/>
          <w:vertAlign w:val="subscript"/>
          <w:lang w:val="en-GB"/>
        </w:rPr>
        <w:t>1</w:t>
      </w:r>
      <w:r w:rsidRPr="001E1601">
        <w:rPr>
          <w:lang w:val="en-GB"/>
        </w:rPr>
        <w:t xml:space="preserve"> extending beyond base of </w:t>
      </w:r>
      <w:r w:rsidRPr="001E1601">
        <w:rPr>
          <w:i/>
          <w:iCs/>
          <w:lang w:val="en-GB"/>
        </w:rPr>
        <w:t>e</w:t>
      </w:r>
      <w:r w:rsidRPr="001E1601">
        <w:rPr>
          <w:i/>
          <w:iCs/>
          <w:vertAlign w:val="subscript"/>
          <w:lang w:val="en-GB"/>
        </w:rPr>
        <w:t>1</w:t>
      </w:r>
      <w:r w:rsidRPr="001E1601">
        <w:rPr>
          <w:lang w:val="en-GB"/>
        </w:rPr>
        <w:t xml:space="preserve"> (Figure </w:t>
      </w:r>
      <w:r w:rsidR="008879C8" w:rsidRPr="001E1601">
        <w:rPr>
          <w:lang w:val="en-GB"/>
        </w:rPr>
        <w:t>10E</w:t>
      </w:r>
      <w:r w:rsidRPr="001E1601">
        <w:rPr>
          <w:lang w:val="en-GB"/>
        </w:rPr>
        <w:t xml:space="preserve">); reticulated area around </w:t>
      </w:r>
      <w:r w:rsidR="00503A6A">
        <w:rPr>
          <w:lang w:val="en-GB"/>
        </w:rPr>
        <w:t>the</w:t>
      </w:r>
      <w:r w:rsidR="00503A6A" w:rsidRPr="001E1601">
        <w:rPr>
          <w:lang w:val="en-GB"/>
        </w:rPr>
        <w:t xml:space="preserve"> </w:t>
      </w:r>
      <w:r w:rsidRPr="001E1601">
        <w:rPr>
          <w:lang w:val="en-GB"/>
        </w:rPr>
        <w:t>hysterosomal seta</w:t>
      </w:r>
      <w:r w:rsidR="00983EDC">
        <w:rPr>
          <w:lang w:val="en-GB"/>
        </w:rPr>
        <w:t>e</w:t>
      </w:r>
      <w:r w:rsidRPr="001E1601">
        <w:rPr>
          <w:lang w:val="en-GB"/>
        </w:rPr>
        <w:t xml:space="preserve"> large, close to each other (Figure </w:t>
      </w:r>
      <w:r w:rsidR="008879C8" w:rsidRPr="001E1601">
        <w:rPr>
          <w:lang w:val="en-GB"/>
        </w:rPr>
        <w:t>10E</w:t>
      </w:r>
      <w:r w:rsidRPr="001E1601">
        <w:rPr>
          <w:lang w:val="en-GB"/>
        </w:rPr>
        <w:t>)</w:t>
      </w:r>
      <w:r w:rsidRPr="001E1601">
        <w:rPr>
          <w:lang w:val="en-GB"/>
        </w:rPr>
        <w:tab/>
      </w:r>
      <w:r w:rsidRPr="001E1601">
        <w:rPr>
          <w:b/>
          <w:bCs/>
          <w:i/>
          <w:lang w:val="en-GB"/>
        </w:rPr>
        <w:t>M. planki</w:t>
      </w:r>
      <w:r w:rsidRPr="001E1601">
        <w:rPr>
          <w:lang w:val="en-GB"/>
        </w:rPr>
        <w:t xml:space="preserve"> (McGregor, 1950)</w:t>
      </w:r>
    </w:p>
    <w:p w14:paraId="491D0309" w14:textId="64740ABB"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[131]</w:t>
      </w:r>
      <w:r w:rsidRPr="001E1601">
        <w:rPr>
          <w:lang w:val="en-GB"/>
        </w:rPr>
        <w:t xml:space="preserve">3. Hysterosomal setae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lang w:val="en-GB"/>
        </w:rPr>
        <w:t xml:space="preserve"> oblanceolate and obviously shorter than distances between their bases</w:t>
      </w:r>
      <w:r w:rsidRPr="001E1601">
        <w:rPr>
          <w:i/>
          <w:iCs/>
          <w:lang w:val="en-GB"/>
        </w:rPr>
        <w:t xml:space="preserve"> </w:t>
      </w:r>
      <w:r w:rsidRPr="001E1601">
        <w:rPr>
          <w:lang w:val="en-GB"/>
        </w:rPr>
        <w:t>(Figure </w:t>
      </w:r>
      <w:r w:rsidR="008879C8" w:rsidRPr="001E1601">
        <w:rPr>
          <w:lang w:val="en-GB"/>
        </w:rPr>
        <w:t xml:space="preserve">10B </w:t>
      </w:r>
      <w:r w:rsidRPr="001E1601">
        <w:rPr>
          <w:lang w:val="en-GB"/>
        </w:rPr>
        <w:t>and Figure </w:t>
      </w:r>
      <w:r w:rsidR="008879C8" w:rsidRPr="001E1601">
        <w:rPr>
          <w:lang w:val="en-GB"/>
        </w:rPr>
        <w:t>10F</w:t>
      </w:r>
      <w:r w:rsidRPr="001E1601">
        <w:rPr>
          <w:lang w:val="en-GB"/>
        </w:rPr>
        <w:t xml:space="preserve">); </w:t>
      </w:r>
      <w:r w:rsidRPr="001E1601">
        <w:rPr>
          <w:i/>
          <w:iCs/>
          <w:lang w:val="en-GB"/>
        </w:rPr>
        <w:t>sc</w:t>
      </w:r>
      <w:r w:rsidRPr="00584267">
        <w:rPr>
          <w:i/>
          <w:iCs/>
          <w:vertAlign w:val="subscript"/>
          <w:lang w:val="en-GB"/>
        </w:rPr>
        <w:t>1</w:t>
      </w:r>
      <w:r w:rsidRPr="001E1601">
        <w:rPr>
          <w:lang w:val="en-GB"/>
        </w:rPr>
        <w:t xml:space="preserve"> shorter than or nearly as long as distance </w:t>
      </w:r>
      <w:r w:rsidRPr="001E1601">
        <w:rPr>
          <w:i/>
          <w:iCs/>
          <w:lang w:val="en-GB"/>
        </w:rPr>
        <w:t>sc</w:t>
      </w:r>
      <w:r w:rsidRPr="001E1601">
        <w:rPr>
          <w:i/>
          <w:iCs/>
          <w:vertAlign w:val="subscript"/>
          <w:lang w:val="en-GB"/>
        </w:rPr>
        <w:t>1</w:t>
      </w:r>
      <w:r w:rsidRPr="001E1601">
        <w:rPr>
          <w:i/>
          <w:iCs/>
          <w:lang w:val="en-GB"/>
        </w:rPr>
        <w:t>–sc</w:t>
      </w:r>
      <w:r w:rsidRPr="001E1601">
        <w:rPr>
          <w:i/>
          <w:iCs/>
          <w:vertAlign w:val="subscript"/>
          <w:lang w:val="en-GB"/>
        </w:rPr>
        <w:t>2</w:t>
      </w:r>
      <w:r w:rsidRPr="001E1601">
        <w:rPr>
          <w:lang w:val="en-GB"/>
        </w:rPr>
        <w:t xml:space="preserve"> (Figure 3A and Figure </w:t>
      </w:r>
      <w:r w:rsidR="005B19CC" w:rsidRPr="001E1601">
        <w:rPr>
          <w:lang w:val="en-GB"/>
        </w:rPr>
        <w:t>15C</w:t>
      </w:r>
      <w:r w:rsidRPr="001E1601">
        <w:rPr>
          <w:lang w:val="en-GB"/>
        </w:rPr>
        <w:t xml:space="preserve">); </w:t>
      </w:r>
      <w:r w:rsidRPr="001E1601">
        <w:rPr>
          <w:i/>
          <w:iCs/>
          <w:lang w:val="en-GB"/>
        </w:rPr>
        <w:t>c</w:t>
      </w:r>
      <w:r w:rsidRPr="001E1601">
        <w:rPr>
          <w:i/>
          <w:iCs/>
          <w:vertAlign w:val="subscript"/>
          <w:lang w:val="en-GB"/>
        </w:rPr>
        <w:t>2</w:t>
      </w:r>
      <w:r w:rsidRPr="001E1601">
        <w:rPr>
          <w:i/>
          <w:iCs/>
          <w:lang w:val="en-GB"/>
        </w:rPr>
        <w:t xml:space="preserve"> </w:t>
      </w:r>
      <w:r w:rsidRPr="001E1601">
        <w:rPr>
          <w:lang w:val="en-GB"/>
        </w:rPr>
        <w:t xml:space="preserve">shorter than </w:t>
      </w:r>
      <w:r w:rsidRPr="001E1601">
        <w:rPr>
          <w:i/>
          <w:iCs/>
          <w:lang w:val="en-GB"/>
        </w:rPr>
        <w:t>c</w:t>
      </w:r>
      <w:r w:rsidRPr="001E1601">
        <w:rPr>
          <w:i/>
          <w:iCs/>
          <w:vertAlign w:val="subscript"/>
          <w:lang w:val="en-GB"/>
        </w:rPr>
        <w:t>3</w:t>
      </w:r>
      <w:r w:rsidRPr="001E1601">
        <w:rPr>
          <w:lang w:val="en-GB"/>
        </w:rPr>
        <w:t xml:space="preserve"> (Figure 3A)</w:t>
      </w:r>
      <w:r w:rsidRPr="001E1601">
        <w:rPr>
          <w:lang w:val="en-GB"/>
        </w:rPr>
        <w:tab/>
      </w:r>
      <w:r w:rsidRPr="001E1601">
        <w:rPr>
          <w:b/>
          <w:bCs/>
          <w:lang w:val="en-GB"/>
        </w:rPr>
        <w:t>4</w:t>
      </w:r>
    </w:p>
    <w:p w14:paraId="491D030A" w14:textId="0F416510"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[132]</w:t>
      </w:r>
      <w:r w:rsidRPr="001E1601">
        <w:rPr>
          <w:lang w:val="en-GB"/>
        </w:rPr>
        <w:t xml:space="preserve">– Hysterosomal setae </w:t>
      </w:r>
      <w:r w:rsidRPr="001E1601">
        <w:rPr>
          <w:i/>
          <w:iCs/>
          <w:lang w:val="en-GB"/>
        </w:rPr>
        <w:t>c</w:t>
      </w:r>
      <w:r w:rsidRPr="00584267">
        <w:rPr>
          <w:i/>
          <w:iCs/>
          <w:vertAlign w:val="subscript"/>
          <w:lang w:val="en-GB"/>
        </w:rPr>
        <w:t>1</w:t>
      </w:r>
      <w:r w:rsidRPr="001E1601">
        <w:rPr>
          <w:lang w:val="en-GB"/>
        </w:rPr>
        <w:t xml:space="preserve">, </w:t>
      </w:r>
      <w:r w:rsidRPr="001E1601">
        <w:rPr>
          <w:i/>
          <w:iCs/>
          <w:lang w:val="en-GB"/>
        </w:rPr>
        <w:t>d</w:t>
      </w:r>
      <w:r w:rsidRPr="00584267">
        <w:rPr>
          <w:i/>
          <w:iCs/>
          <w:vertAlign w:val="subscript"/>
          <w:lang w:val="en-GB"/>
        </w:rPr>
        <w:t>1</w:t>
      </w:r>
      <w:r w:rsidRPr="001E1601">
        <w:rPr>
          <w:lang w:val="en-GB"/>
        </w:rPr>
        <w:t xml:space="preserve"> and </w:t>
      </w:r>
      <w:r w:rsidRPr="001E1601">
        <w:rPr>
          <w:i/>
          <w:iCs/>
          <w:lang w:val="en-GB"/>
        </w:rPr>
        <w:t>e</w:t>
      </w:r>
      <w:r w:rsidRPr="00584267">
        <w:rPr>
          <w:i/>
          <w:iCs/>
          <w:vertAlign w:val="subscript"/>
          <w:lang w:val="en-GB"/>
        </w:rPr>
        <w:t>1</w:t>
      </w:r>
      <w:r w:rsidRPr="001E1601">
        <w:rPr>
          <w:lang w:val="en-GB"/>
        </w:rPr>
        <w:t xml:space="preserve"> linear or only slightly expanded apically, at least one of them longer than or nearly as long as distances between their bases (Figure </w:t>
      </w:r>
      <w:r w:rsidR="007E382D" w:rsidRPr="001E1601">
        <w:rPr>
          <w:lang w:val="en-GB"/>
        </w:rPr>
        <w:t xml:space="preserve">10A </w:t>
      </w:r>
      <w:r w:rsidRPr="001E1601">
        <w:rPr>
          <w:lang w:val="en-GB"/>
        </w:rPr>
        <w:t>and Figure </w:t>
      </w:r>
      <w:r w:rsidR="007E382D" w:rsidRPr="001E1601">
        <w:rPr>
          <w:lang w:val="en-GB"/>
        </w:rPr>
        <w:t>10D</w:t>
      </w:r>
      <w:r w:rsidRPr="001E1601">
        <w:rPr>
          <w:lang w:val="en-GB"/>
        </w:rPr>
        <w:t xml:space="preserve">); </w:t>
      </w:r>
      <w:r w:rsidRPr="001E1601">
        <w:rPr>
          <w:i/>
          <w:iCs/>
          <w:lang w:val="en-GB"/>
        </w:rPr>
        <w:t>sc</w:t>
      </w:r>
      <w:r w:rsidRPr="00584267">
        <w:rPr>
          <w:i/>
          <w:iCs/>
          <w:vertAlign w:val="subscript"/>
          <w:lang w:val="en-GB"/>
        </w:rPr>
        <w:t>1</w:t>
      </w:r>
      <w:r w:rsidRPr="001E1601">
        <w:rPr>
          <w:lang w:val="en-GB"/>
        </w:rPr>
        <w:t xml:space="preserve"> longer than distance sc</w:t>
      </w:r>
      <w:r w:rsidRPr="001E1601">
        <w:rPr>
          <w:vertAlign w:val="subscript"/>
          <w:lang w:val="en-GB"/>
        </w:rPr>
        <w:t>1</w:t>
      </w:r>
      <w:r w:rsidRPr="001E1601">
        <w:rPr>
          <w:i/>
          <w:iCs/>
          <w:lang w:val="en-GB"/>
        </w:rPr>
        <w:t>–sc</w:t>
      </w:r>
      <w:r w:rsidRPr="001E1601">
        <w:rPr>
          <w:i/>
          <w:iCs/>
          <w:vertAlign w:val="subscript"/>
          <w:lang w:val="en-GB"/>
        </w:rPr>
        <w:t>2</w:t>
      </w:r>
      <w:r w:rsidRPr="001E1601">
        <w:rPr>
          <w:lang w:val="en-GB"/>
        </w:rPr>
        <w:t xml:space="preserve">; </w:t>
      </w:r>
      <w:r w:rsidRPr="001E1601">
        <w:rPr>
          <w:i/>
          <w:iCs/>
          <w:lang w:val="en-GB"/>
        </w:rPr>
        <w:t>c</w:t>
      </w:r>
      <w:r w:rsidRPr="001E1601">
        <w:rPr>
          <w:i/>
          <w:iCs/>
          <w:vertAlign w:val="subscript"/>
          <w:lang w:val="en-GB"/>
        </w:rPr>
        <w:t>2</w:t>
      </w:r>
      <w:r w:rsidRPr="001E1601">
        <w:rPr>
          <w:i/>
          <w:iCs/>
          <w:lang w:val="en-GB"/>
        </w:rPr>
        <w:t xml:space="preserve"> </w:t>
      </w:r>
      <w:r w:rsidRPr="001E1601">
        <w:rPr>
          <w:lang w:val="en-GB"/>
        </w:rPr>
        <w:t xml:space="preserve">longer than </w:t>
      </w:r>
      <w:r w:rsidRPr="001E1601">
        <w:rPr>
          <w:i/>
          <w:iCs/>
          <w:lang w:val="en-GB"/>
        </w:rPr>
        <w:t>c</w:t>
      </w:r>
      <w:r w:rsidRPr="001E1601">
        <w:rPr>
          <w:i/>
          <w:iCs/>
          <w:vertAlign w:val="subscript"/>
          <w:lang w:val="en-GB"/>
        </w:rPr>
        <w:t>3</w:t>
      </w:r>
      <w:r w:rsidRPr="001E1601">
        <w:rPr>
          <w:i/>
          <w:iCs/>
          <w:lang w:val="en-GB"/>
        </w:rPr>
        <w:tab/>
      </w:r>
      <w:r w:rsidRPr="001E1601">
        <w:rPr>
          <w:b/>
          <w:bCs/>
          <w:lang w:val="en-GB"/>
        </w:rPr>
        <w:t>5</w:t>
      </w:r>
    </w:p>
    <w:p w14:paraId="491D030B" w14:textId="43F1B493"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[133]</w:t>
      </w:r>
      <w:r w:rsidRPr="001E1601">
        <w:rPr>
          <w:lang w:val="en-GB"/>
        </w:rPr>
        <w:t xml:space="preserve">4. Area posterior to </w:t>
      </w:r>
      <w:r w:rsidRPr="001E1601">
        <w:rPr>
          <w:i/>
          <w:iCs/>
          <w:lang w:val="en-GB"/>
        </w:rPr>
        <w:t>f</w:t>
      </w:r>
      <w:r w:rsidRPr="001E1601">
        <w:rPr>
          <w:i/>
          <w:iCs/>
          <w:vertAlign w:val="subscript"/>
          <w:lang w:val="en-GB"/>
        </w:rPr>
        <w:t>2</w:t>
      </w:r>
      <w:r w:rsidRPr="001E1601">
        <w:rPr>
          <w:lang w:val="en-GB"/>
        </w:rPr>
        <w:t xml:space="preserve"> reticulated (Figure </w:t>
      </w:r>
      <w:r w:rsidR="007E382D" w:rsidRPr="001E1601">
        <w:rPr>
          <w:lang w:val="en-GB"/>
        </w:rPr>
        <w:t>10B</w:t>
      </w:r>
      <w:r w:rsidRPr="001E1601">
        <w:rPr>
          <w:lang w:val="en-GB"/>
        </w:rPr>
        <w:t xml:space="preserve">); </w:t>
      </w:r>
      <w:r w:rsidRPr="001E1601">
        <w:rPr>
          <w:i/>
          <w:iCs/>
          <w:lang w:val="en-GB"/>
        </w:rPr>
        <w:t>f</w:t>
      </w:r>
      <w:r w:rsidRPr="001E1601">
        <w:rPr>
          <w:i/>
          <w:iCs/>
          <w:vertAlign w:val="subscript"/>
          <w:lang w:val="en-GB"/>
        </w:rPr>
        <w:t>1</w:t>
      </w:r>
      <w:r w:rsidRPr="001E1601">
        <w:rPr>
          <w:vertAlign w:val="subscript"/>
          <w:lang w:val="en-GB"/>
        </w:rPr>
        <w:t xml:space="preserve"> </w:t>
      </w:r>
      <w:r w:rsidRPr="001E1601">
        <w:rPr>
          <w:lang w:val="en-GB"/>
        </w:rPr>
        <w:t xml:space="preserve">less than 1.5× as long as </w:t>
      </w:r>
      <w:r w:rsidRPr="001E1601">
        <w:rPr>
          <w:i/>
          <w:iCs/>
          <w:lang w:val="en-GB"/>
        </w:rPr>
        <w:t>c</w:t>
      </w:r>
      <w:r w:rsidRPr="001E1601">
        <w:rPr>
          <w:i/>
          <w:iCs/>
          <w:vertAlign w:val="subscript"/>
          <w:lang w:val="en-GB"/>
        </w:rPr>
        <w:t>1</w:t>
      </w:r>
      <w:r w:rsidRPr="001E1601">
        <w:rPr>
          <w:lang w:val="en-GB"/>
        </w:rPr>
        <w:t xml:space="preserve"> or </w:t>
      </w:r>
      <w:r w:rsidRPr="001E1601">
        <w:rPr>
          <w:i/>
          <w:iCs/>
          <w:lang w:val="en-GB"/>
        </w:rPr>
        <w:t>d</w:t>
      </w:r>
      <w:r w:rsidRPr="001E1601">
        <w:rPr>
          <w:i/>
          <w:iCs/>
          <w:vertAlign w:val="subscript"/>
          <w:lang w:val="en-GB"/>
        </w:rPr>
        <w:t>1</w:t>
      </w:r>
      <w:r w:rsidRPr="001E1601">
        <w:rPr>
          <w:lang w:val="en-GB"/>
        </w:rPr>
        <w:t xml:space="preserve"> (Figure </w:t>
      </w:r>
      <w:r w:rsidR="007E382D" w:rsidRPr="001E1601">
        <w:rPr>
          <w:lang w:val="en-GB"/>
        </w:rPr>
        <w:t>10B</w:t>
      </w:r>
      <w:r w:rsidRPr="001E1601">
        <w:rPr>
          <w:lang w:val="en-GB"/>
        </w:rPr>
        <w:t>); palp with terminal eupathidium more than twice as long as wide (Figure </w:t>
      </w:r>
      <w:r w:rsidR="006046E9" w:rsidRPr="001E1601">
        <w:rPr>
          <w:lang w:val="en-GB"/>
        </w:rPr>
        <w:t>12</w:t>
      </w:r>
      <w:r w:rsidRPr="001E1601">
        <w:rPr>
          <w:lang w:val="en-GB"/>
        </w:rPr>
        <w:t>B)</w:t>
      </w:r>
      <w:r w:rsidRPr="001E1601">
        <w:rPr>
          <w:lang w:val="en-GB"/>
        </w:rPr>
        <w:br/>
      </w:r>
      <w:r w:rsidRPr="001E1601">
        <w:rPr>
          <w:lang w:val="en-GB"/>
        </w:rPr>
        <w:tab/>
      </w:r>
      <w:r w:rsidRPr="001E1601">
        <w:rPr>
          <w:b/>
          <w:bCs/>
          <w:i/>
          <w:iCs/>
          <w:lang w:val="en-GB"/>
        </w:rPr>
        <w:t>M. caribbeanae</w:t>
      </w:r>
      <w:r w:rsidRPr="001E1601">
        <w:rPr>
          <w:lang w:val="en-GB"/>
        </w:rPr>
        <w:t xml:space="preserve"> (McGregor, 1950)</w:t>
      </w:r>
    </w:p>
    <w:p w14:paraId="491D030C" w14:textId="3D1C92D0"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[134]</w:t>
      </w:r>
      <w:r w:rsidRPr="001E1601">
        <w:rPr>
          <w:lang w:val="en-GB"/>
        </w:rPr>
        <w:t xml:space="preserve">– Area posterior to </w:t>
      </w:r>
      <w:r w:rsidRPr="001E1601">
        <w:rPr>
          <w:i/>
          <w:iCs/>
          <w:lang w:val="en-GB"/>
        </w:rPr>
        <w:t>f</w:t>
      </w:r>
      <w:r w:rsidRPr="001E1601">
        <w:rPr>
          <w:i/>
          <w:iCs/>
          <w:vertAlign w:val="subscript"/>
          <w:lang w:val="en-GB"/>
        </w:rPr>
        <w:t>2</w:t>
      </w:r>
      <w:r w:rsidRPr="001E1601">
        <w:rPr>
          <w:lang w:val="en-GB"/>
        </w:rPr>
        <w:t xml:space="preserve"> simply striated (Figure 3B);</w:t>
      </w:r>
      <w:r w:rsidRPr="001E1601">
        <w:rPr>
          <w:i/>
          <w:iCs/>
          <w:lang w:val="en-GB"/>
        </w:rPr>
        <w:t xml:space="preserve"> f</w:t>
      </w:r>
      <w:r w:rsidRPr="001E1601">
        <w:rPr>
          <w:i/>
          <w:iCs/>
          <w:vertAlign w:val="subscript"/>
          <w:lang w:val="en-GB"/>
        </w:rPr>
        <w:t>1</w:t>
      </w:r>
      <w:r w:rsidRPr="001E1601">
        <w:rPr>
          <w:lang w:val="en-GB"/>
        </w:rPr>
        <w:t xml:space="preserve"> more than twice as long as </w:t>
      </w:r>
      <w:r w:rsidRPr="001E1601">
        <w:rPr>
          <w:i/>
          <w:iCs/>
          <w:lang w:val="en-GB"/>
        </w:rPr>
        <w:t>c</w:t>
      </w:r>
      <w:r w:rsidRPr="001E1601">
        <w:rPr>
          <w:i/>
          <w:iCs/>
          <w:vertAlign w:val="subscript"/>
          <w:lang w:val="en-GB"/>
        </w:rPr>
        <w:t>1</w:t>
      </w:r>
      <w:r w:rsidRPr="001E1601">
        <w:rPr>
          <w:lang w:val="en-GB"/>
        </w:rPr>
        <w:t xml:space="preserve"> or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(Figure 3A and Figure </w:t>
      </w:r>
      <w:r w:rsidR="006046E9" w:rsidRPr="001E1601">
        <w:rPr>
          <w:lang w:val="en-GB"/>
        </w:rPr>
        <w:t>10F</w:t>
      </w:r>
      <w:r w:rsidRPr="001E1601">
        <w:rPr>
          <w:lang w:val="en-GB"/>
        </w:rPr>
        <w:t>); palp with terminal eupathidium no more than 1.5× as long as wide (Figure </w:t>
      </w:r>
      <w:r w:rsidR="00FE407A" w:rsidRPr="001E1601">
        <w:rPr>
          <w:lang w:val="en-GB"/>
        </w:rPr>
        <w:t>12F</w:t>
      </w:r>
      <w:r w:rsidRPr="001E1601">
        <w:rPr>
          <w:lang w:val="en-GB"/>
        </w:rPr>
        <w:t>)</w:t>
      </w:r>
      <w:r w:rsidRPr="001E1601">
        <w:rPr>
          <w:lang w:val="en-GB"/>
        </w:rPr>
        <w:tab/>
      </w:r>
      <w:r w:rsidRPr="001E1601">
        <w:rPr>
          <w:b/>
          <w:bCs/>
          <w:i/>
          <w:iCs/>
          <w:lang w:val="en-GB"/>
        </w:rPr>
        <w:t>M. tanajoa</w:t>
      </w:r>
      <w:r w:rsidRPr="001E1601">
        <w:rPr>
          <w:lang w:val="en-GB"/>
        </w:rPr>
        <w:t xml:space="preserve"> (Bondar, 1938)</w:t>
      </w:r>
    </w:p>
    <w:p w14:paraId="491D030D" w14:textId="22A93559"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[135]</w:t>
      </w:r>
      <w:r w:rsidRPr="001E1601">
        <w:rPr>
          <w:lang w:val="en-GB"/>
        </w:rPr>
        <w:t>5.</w:t>
      </w:r>
      <w:bookmarkStart w:id="46" w:name="_Hlk72335427"/>
      <w:r w:rsidRPr="001E1601">
        <w:rPr>
          <w:lang w:val="en-GB"/>
        </w:rPr>
        <w:t xml:space="preserve"> Hysterosomal setae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lang w:val="en-GB"/>
        </w:rPr>
        <w:t xml:space="preserve"> and </w:t>
      </w:r>
      <w:r w:rsidRPr="001E1601">
        <w:rPr>
          <w:i/>
          <w:iCs/>
          <w:lang w:val="en-GB"/>
        </w:rPr>
        <w:t>e</w:t>
      </w:r>
      <w:r w:rsidRPr="001E1601">
        <w:rPr>
          <w:i/>
          <w:iCs/>
          <w:vertAlign w:val="subscript"/>
          <w:lang w:val="en-GB"/>
        </w:rPr>
        <w:t>1</w:t>
      </w:r>
      <w:r w:rsidRPr="001E1601">
        <w:rPr>
          <w:lang w:val="en-GB"/>
        </w:rPr>
        <w:t xml:space="preserve"> extending beyond or almost reaching bases of setae in next row (Figure </w:t>
      </w:r>
      <w:r w:rsidR="00FE407A" w:rsidRPr="001E1601">
        <w:rPr>
          <w:lang w:val="en-GB"/>
        </w:rPr>
        <w:t>10A</w:t>
      </w:r>
      <w:r w:rsidRPr="001E1601">
        <w:rPr>
          <w:lang w:val="en-GB"/>
        </w:rPr>
        <w:t>)</w:t>
      </w:r>
      <w:bookmarkEnd w:id="46"/>
      <w:r w:rsidRPr="001E1601">
        <w:rPr>
          <w:lang w:val="en-GB"/>
        </w:rPr>
        <w:t xml:space="preserve">; </w:t>
      </w:r>
      <w:r w:rsidRPr="001E1601">
        <w:rPr>
          <w:i/>
          <w:iCs/>
          <w:lang w:val="en-GB"/>
        </w:rPr>
        <w:t>c</w:t>
      </w:r>
      <w:r w:rsidRPr="00584267">
        <w:rPr>
          <w:i/>
          <w:iCs/>
          <w:vertAlign w:val="subscript"/>
          <w:lang w:val="en-GB"/>
        </w:rPr>
        <w:t>1</w:t>
      </w:r>
      <w:r w:rsidRPr="001E1601">
        <w:rPr>
          <w:lang w:val="en-GB"/>
        </w:rPr>
        <w:t xml:space="preserve">, </w:t>
      </w:r>
      <w:r w:rsidRPr="001E1601">
        <w:rPr>
          <w:i/>
          <w:iCs/>
          <w:lang w:val="en-GB"/>
        </w:rPr>
        <w:t>d</w:t>
      </w:r>
      <w:r w:rsidRPr="00584267">
        <w:rPr>
          <w:i/>
          <w:iCs/>
          <w:vertAlign w:val="subscript"/>
          <w:lang w:val="en-GB"/>
        </w:rPr>
        <w:t>1</w:t>
      </w:r>
      <w:r w:rsidRPr="001E1601">
        <w:rPr>
          <w:lang w:val="en-GB"/>
        </w:rPr>
        <w:t xml:space="preserve"> and </w:t>
      </w:r>
      <w:r w:rsidRPr="001E1601">
        <w:rPr>
          <w:i/>
          <w:iCs/>
          <w:lang w:val="en-GB"/>
        </w:rPr>
        <w:t>e</w:t>
      </w:r>
      <w:r w:rsidRPr="00584267">
        <w:rPr>
          <w:i/>
          <w:iCs/>
          <w:vertAlign w:val="subscript"/>
          <w:lang w:val="en-GB"/>
        </w:rPr>
        <w:t>1</w:t>
      </w:r>
      <w:r w:rsidRPr="001E1601">
        <w:rPr>
          <w:lang w:val="en-GB"/>
        </w:rPr>
        <w:t xml:space="preserve"> longer than distances </w:t>
      </w:r>
      <w:r w:rsidRPr="001E1601">
        <w:rPr>
          <w:i/>
          <w:iCs/>
          <w:lang w:val="en-GB"/>
        </w:rPr>
        <w:t>c</w:t>
      </w:r>
      <w:r w:rsidRPr="001E1601">
        <w:rPr>
          <w:i/>
          <w:iCs/>
          <w:vertAlign w:val="subscript"/>
          <w:lang w:val="en-GB"/>
        </w:rPr>
        <w:t>1</w:t>
      </w:r>
      <w:r w:rsidRPr="001E1601">
        <w:rPr>
          <w:i/>
          <w:iCs/>
          <w:lang w:val="en-GB"/>
        </w:rPr>
        <w:t>–c</w:t>
      </w:r>
      <w:r w:rsidRPr="001E1601">
        <w:rPr>
          <w:i/>
          <w:iCs/>
          <w:vertAlign w:val="subscript"/>
          <w:lang w:val="en-GB"/>
        </w:rPr>
        <w:t>1</w:t>
      </w:r>
      <w:r w:rsidRPr="001E1601">
        <w:rPr>
          <w:lang w:val="en-GB"/>
        </w:rPr>
        <w:t>,</w:t>
      </w:r>
      <w:r w:rsidRPr="001E1601">
        <w:rPr>
          <w:i/>
          <w:iCs/>
          <w:lang w:val="en-GB"/>
        </w:rPr>
        <w:t xml:space="preserve"> d</w:t>
      </w:r>
      <w:r w:rsidRPr="001E1601">
        <w:rPr>
          <w:i/>
          <w:iCs/>
          <w:vertAlign w:val="subscript"/>
          <w:lang w:val="en-GB"/>
        </w:rPr>
        <w:t>1</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i/>
          <w:iCs/>
          <w:lang w:val="en-GB"/>
        </w:rPr>
        <w:t>–e</w:t>
      </w:r>
      <w:r w:rsidRPr="001E1601">
        <w:rPr>
          <w:i/>
          <w:iCs/>
          <w:vertAlign w:val="subscript"/>
          <w:lang w:val="en-GB"/>
        </w:rPr>
        <w:t>1</w:t>
      </w:r>
      <w:r w:rsidRPr="001E1601">
        <w:rPr>
          <w:lang w:val="en-GB"/>
        </w:rPr>
        <w:t>, respectively (Figure </w:t>
      </w:r>
      <w:r w:rsidR="00FE407A" w:rsidRPr="001E1601">
        <w:rPr>
          <w:lang w:val="en-GB"/>
        </w:rPr>
        <w:t>10A</w:t>
      </w:r>
      <w:r w:rsidRPr="001E1601">
        <w:rPr>
          <w:lang w:val="en-GB"/>
        </w:rPr>
        <w:t>)</w:t>
      </w:r>
      <w:r w:rsidRPr="001E1601">
        <w:rPr>
          <w:lang w:val="en-GB"/>
        </w:rPr>
        <w:tab/>
      </w:r>
      <w:r w:rsidRPr="001E1601">
        <w:rPr>
          <w:b/>
          <w:bCs/>
          <w:lang w:val="en-GB"/>
        </w:rPr>
        <w:t>6</w:t>
      </w:r>
    </w:p>
    <w:p w14:paraId="491D030E" w14:textId="77777777"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[136]</w:t>
      </w:r>
      <w:r w:rsidRPr="001E1601">
        <w:rPr>
          <w:lang w:val="en-GB"/>
        </w:rPr>
        <w:t xml:space="preserve">– Hysterosomal setae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lang w:val="en-GB"/>
        </w:rPr>
        <w:t xml:space="preserve"> far from reaching bases of setae in next row; </w:t>
      </w:r>
      <w:r w:rsidRPr="001E1601">
        <w:rPr>
          <w:i/>
          <w:iCs/>
          <w:lang w:val="en-GB"/>
        </w:rPr>
        <w:t>c</w:t>
      </w:r>
      <w:r w:rsidRPr="001E1601">
        <w:rPr>
          <w:i/>
          <w:iCs/>
          <w:vertAlign w:val="subscript"/>
          <w:lang w:val="en-GB"/>
        </w:rPr>
        <w:t>1</w:t>
      </w:r>
      <w:r w:rsidRPr="001E1601">
        <w:rPr>
          <w:vertAlign w:val="subscript"/>
          <w:lang w:val="en-GB"/>
        </w:rPr>
        <w:t>,</w:t>
      </w:r>
      <w:r w:rsidRPr="001E1601">
        <w:rPr>
          <w:lang w:val="en-GB"/>
        </w:rPr>
        <w:t xml:space="preserve">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vertAlign w:val="subscript"/>
          <w:lang w:val="en-GB"/>
        </w:rPr>
        <w:t xml:space="preserve"> </w:t>
      </w:r>
      <w:r w:rsidRPr="001E1601">
        <w:rPr>
          <w:lang w:val="en-GB"/>
        </w:rPr>
        <w:t xml:space="preserve">much shorter than distances </w:t>
      </w:r>
      <w:r w:rsidRPr="001E1601">
        <w:rPr>
          <w:i/>
          <w:iCs/>
          <w:lang w:val="en-GB"/>
        </w:rPr>
        <w:t>c</w:t>
      </w:r>
      <w:r w:rsidRPr="001E1601">
        <w:rPr>
          <w:i/>
          <w:iCs/>
          <w:vertAlign w:val="subscript"/>
          <w:lang w:val="en-GB"/>
        </w:rPr>
        <w:t>1</w:t>
      </w:r>
      <w:r w:rsidRPr="001E1601">
        <w:rPr>
          <w:i/>
          <w:iCs/>
          <w:lang w:val="en-GB"/>
        </w:rPr>
        <w:t>–c</w:t>
      </w:r>
      <w:r w:rsidRPr="001E1601">
        <w:rPr>
          <w:i/>
          <w:iCs/>
          <w:vertAlign w:val="subscript"/>
          <w:lang w:val="en-GB"/>
        </w:rPr>
        <w:t>1</w:t>
      </w:r>
      <w:r w:rsidRPr="001E1601">
        <w:rPr>
          <w:lang w:val="en-GB"/>
        </w:rPr>
        <w:t>,</w:t>
      </w:r>
      <w:r w:rsidRPr="001E1601">
        <w:rPr>
          <w:i/>
          <w:iCs/>
          <w:lang w:val="en-GB"/>
        </w:rPr>
        <w:t xml:space="preserve"> d</w:t>
      </w:r>
      <w:r w:rsidRPr="001E1601">
        <w:rPr>
          <w:i/>
          <w:iCs/>
          <w:vertAlign w:val="subscript"/>
          <w:lang w:val="en-GB"/>
        </w:rPr>
        <w:t>1</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i/>
          <w:iCs/>
          <w:lang w:val="en-GB"/>
        </w:rPr>
        <w:t>–e</w:t>
      </w:r>
      <w:r w:rsidRPr="001E1601">
        <w:rPr>
          <w:i/>
          <w:iCs/>
          <w:vertAlign w:val="subscript"/>
          <w:lang w:val="en-GB"/>
        </w:rPr>
        <w:t>1</w:t>
      </w:r>
      <w:r w:rsidRPr="001E1601">
        <w:rPr>
          <w:lang w:val="en-GB"/>
        </w:rPr>
        <w:t>, respectively</w:t>
      </w:r>
      <w:r w:rsidRPr="001E1601">
        <w:rPr>
          <w:lang w:val="en-GB"/>
        </w:rPr>
        <w:tab/>
      </w:r>
      <w:r w:rsidRPr="001E1601">
        <w:rPr>
          <w:b/>
          <w:bCs/>
          <w:i/>
          <w:lang w:val="en-GB"/>
        </w:rPr>
        <w:t>M. progresivus</w:t>
      </w:r>
      <w:r w:rsidRPr="001E1601">
        <w:rPr>
          <w:lang w:val="en-GB"/>
        </w:rPr>
        <w:t xml:space="preserve"> Doreste, 1981</w:t>
      </w:r>
    </w:p>
    <w:p w14:paraId="491D030F" w14:textId="77777777"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lastRenderedPageBreak/>
        <w:t>[137]</w:t>
      </w:r>
      <w:r w:rsidRPr="001E1601">
        <w:rPr>
          <w:lang w:val="en-GB"/>
        </w:rPr>
        <w:t xml:space="preserve">6. Seta </w:t>
      </w:r>
      <w:r w:rsidRPr="001E1601">
        <w:rPr>
          <w:i/>
          <w:iCs/>
          <w:lang w:val="en-GB"/>
        </w:rPr>
        <w:t>sc</w:t>
      </w:r>
      <w:r w:rsidRPr="001E1601">
        <w:rPr>
          <w:i/>
          <w:iCs/>
          <w:vertAlign w:val="subscript"/>
          <w:lang w:val="en-GB"/>
        </w:rPr>
        <w:t>1</w:t>
      </w:r>
      <w:r w:rsidRPr="001E1601">
        <w:rPr>
          <w:lang w:val="en-GB"/>
        </w:rPr>
        <w:t xml:space="preserve"> no more than 1.3× as long as </w:t>
      </w:r>
      <w:r w:rsidRPr="001E1601">
        <w:rPr>
          <w:i/>
          <w:iCs/>
          <w:lang w:val="en-GB"/>
        </w:rPr>
        <w:t>sc</w:t>
      </w:r>
      <w:r w:rsidRPr="001E1601">
        <w:rPr>
          <w:i/>
          <w:iCs/>
          <w:vertAlign w:val="subscript"/>
          <w:lang w:val="en-GB"/>
        </w:rPr>
        <w:t>2</w:t>
      </w:r>
      <w:r w:rsidRPr="001E1601">
        <w:rPr>
          <w:lang w:val="en-GB"/>
        </w:rPr>
        <w:t xml:space="preserve">; </w:t>
      </w:r>
      <w:r w:rsidRPr="001E1601">
        <w:rPr>
          <w:i/>
          <w:iCs/>
          <w:lang w:val="en-GB"/>
        </w:rPr>
        <w:t>c</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d</w:t>
      </w:r>
      <w:r w:rsidRPr="001E1601">
        <w:rPr>
          <w:i/>
          <w:iCs/>
          <w:vertAlign w:val="subscript"/>
          <w:lang w:val="en-GB"/>
        </w:rPr>
        <w:t>1</w:t>
      </w:r>
      <w:r w:rsidRPr="001E1601">
        <w:rPr>
          <w:lang w:val="en-GB"/>
        </w:rPr>
        <w:t xml:space="preserve"> as long as or slightly shorter than </w:t>
      </w:r>
      <w:r w:rsidRPr="001E1601">
        <w:rPr>
          <w:i/>
          <w:iCs/>
          <w:lang w:val="en-GB"/>
        </w:rPr>
        <w:t>c</w:t>
      </w:r>
      <w:r w:rsidRPr="001E1601">
        <w:rPr>
          <w:i/>
          <w:iCs/>
          <w:vertAlign w:val="subscript"/>
          <w:lang w:val="en-GB"/>
        </w:rPr>
        <w:t>2</w:t>
      </w:r>
      <w:r w:rsidRPr="001E1601">
        <w:rPr>
          <w:lang w:val="en-GB"/>
        </w:rPr>
        <w:t xml:space="preserve"> and </w:t>
      </w:r>
      <w:r w:rsidRPr="001E1601">
        <w:rPr>
          <w:i/>
          <w:iCs/>
          <w:lang w:val="en-GB"/>
        </w:rPr>
        <w:t>d</w:t>
      </w:r>
      <w:r w:rsidRPr="001E1601">
        <w:rPr>
          <w:i/>
          <w:iCs/>
          <w:vertAlign w:val="subscript"/>
          <w:lang w:val="en-GB"/>
        </w:rPr>
        <w:t>2</w:t>
      </w:r>
      <w:r w:rsidRPr="001E1601">
        <w:rPr>
          <w:lang w:val="en-GB"/>
        </w:rPr>
        <w:t>, respectively</w:t>
      </w:r>
      <w:r w:rsidRPr="001E1601">
        <w:rPr>
          <w:lang w:val="en-GB"/>
        </w:rPr>
        <w:tab/>
      </w:r>
      <w:r w:rsidRPr="001E1601">
        <w:rPr>
          <w:b/>
          <w:bCs/>
          <w:lang w:val="en-GB"/>
        </w:rPr>
        <w:t>7</w:t>
      </w:r>
    </w:p>
    <w:p w14:paraId="491D0310" w14:textId="77777777"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[138]</w:t>
      </w:r>
      <w:r w:rsidRPr="001E1601">
        <w:rPr>
          <w:lang w:val="en-GB"/>
        </w:rPr>
        <w:t xml:space="preserve">– Seta </w:t>
      </w:r>
      <w:r w:rsidRPr="001E1601">
        <w:rPr>
          <w:i/>
          <w:iCs/>
          <w:lang w:val="en-GB"/>
        </w:rPr>
        <w:t>sc</w:t>
      </w:r>
      <w:r w:rsidRPr="001E1601">
        <w:rPr>
          <w:i/>
          <w:iCs/>
          <w:vertAlign w:val="subscript"/>
          <w:lang w:val="en-GB"/>
        </w:rPr>
        <w:t>1</w:t>
      </w:r>
      <w:r w:rsidRPr="001E1601">
        <w:rPr>
          <w:lang w:val="en-GB"/>
        </w:rPr>
        <w:t xml:space="preserve"> about twice as long as </w:t>
      </w:r>
      <w:r w:rsidRPr="001E1601">
        <w:rPr>
          <w:i/>
          <w:iCs/>
          <w:lang w:val="en-GB"/>
        </w:rPr>
        <w:t>sc</w:t>
      </w:r>
      <w:r w:rsidRPr="001E1601">
        <w:rPr>
          <w:i/>
          <w:iCs/>
          <w:vertAlign w:val="subscript"/>
          <w:lang w:val="en-GB"/>
        </w:rPr>
        <w:t>2</w:t>
      </w:r>
      <w:r w:rsidRPr="001E1601">
        <w:rPr>
          <w:lang w:val="en-GB"/>
        </w:rPr>
        <w:t xml:space="preserve">; </w:t>
      </w:r>
      <w:r w:rsidRPr="001E1601">
        <w:rPr>
          <w:i/>
          <w:iCs/>
          <w:lang w:val="en-GB"/>
        </w:rPr>
        <w:t>c</w:t>
      </w:r>
      <w:r w:rsidRPr="001E1601">
        <w:rPr>
          <w:i/>
          <w:iCs/>
          <w:vertAlign w:val="subscript"/>
          <w:lang w:val="en-GB"/>
        </w:rPr>
        <w:t>1</w:t>
      </w:r>
      <w:r w:rsidRPr="001E1601">
        <w:rPr>
          <w:lang w:val="en-GB"/>
        </w:rPr>
        <w:t xml:space="preserve"> and </w:t>
      </w:r>
      <w:r w:rsidRPr="001E1601">
        <w:rPr>
          <w:i/>
          <w:iCs/>
          <w:lang w:val="en-GB"/>
        </w:rPr>
        <w:t>d</w:t>
      </w:r>
      <w:r w:rsidRPr="001E1601">
        <w:rPr>
          <w:i/>
          <w:iCs/>
          <w:vertAlign w:val="subscript"/>
          <w:lang w:val="en-GB"/>
        </w:rPr>
        <w:t>1</w:t>
      </w:r>
      <w:r w:rsidRPr="001E1601">
        <w:rPr>
          <w:lang w:val="en-GB"/>
        </w:rPr>
        <w:t xml:space="preserve"> obviously longer than </w:t>
      </w:r>
      <w:r w:rsidRPr="001E1601">
        <w:rPr>
          <w:i/>
          <w:iCs/>
          <w:lang w:val="en-GB"/>
        </w:rPr>
        <w:t>c</w:t>
      </w:r>
      <w:r w:rsidRPr="001E1601">
        <w:rPr>
          <w:i/>
          <w:iCs/>
          <w:vertAlign w:val="subscript"/>
          <w:lang w:val="en-GB"/>
        </w:rPr>
        <w:t>2</w:t>
      </w:r>
      <w:r w:rsidRPr="001E1601">
        <w:rPr>
          <w:lang w:val="en-GB"/>
        </w:rPr>
        <w:t xml:space="preserve"> and </w:t>
      </w:r>
      <w:r w:rsidRPr="001E1601">
        <w:rPr>
          <w:i/>
          <w:iCs/>
          <w:lang w:val="en-GB"/>
        </w:rPr>
        <w:t>d</w:t>
      </w:r>
      <w:r w:rsidRPr="001E1601">
        <w:rPr>
          <w:i/>
          <w:iCs/>
          <w:vertAlign w:val="subscript"/>
          <w:lang w:val="en-GB"/>
        </w:rPr>
        <w:t>2</w:t>
      </w:r>
      <w:r w:rsidRPr="001E1601">
        <w:rPr>
          <w:lang w:val="en-GB"/>
        </w:rPr>
        <w:t>, respectively</w:t>
      </w:r>
      <w:r w:rsidRPr="001E1601">
        <w:rPr>
          <w:lang w:val="en-GB"/>
        </w:rPr>
        <w:tab/>
      </w:r>
      <w:r w:rsidRPr="001E1601">
        <w:rPr>
          <w:b/>
          <w:bCs/>
          <w:i/>
          <w:lang w:val="en-GB"/>
        </w:rPr>
        <w:t>M. mcgregori</w:t>
      </w:r>
      <w:r w:rsidRPr="001E1601">
        <w:rPr>
          <w:lang w:val="en-GB"/>
        </w:rPr>
        <w:t xml:space="preserve"> (Flechtmann and Baker, 1970)</w:t>
      </w:r>
    </w:p>
    <w:p w14:paraId="491D0311" w14:textId="48DFE7EF" w:rsidR="00171C04" w:rsidRPr="001E1601" w:rsidRDefault="39225D59" w:rsidP="00C30B5E">
      <w:pPr>
        <w:pStyle w:val="IPPParagraphnumbering"/>
        <w:tabs>
          <w:tab w:val="clear" w:pos="0"/>
          <w:tab w:val="right" w:leader="dot" w:pos="9072"/>
        </w:tabs>
        <w:ind w:firstLine="0"/>
        <w:rPr>
          <w:lang w:val="en-GB"/>
        </w:rPr>
      </w:pPr>
      <w:r w:rsidRPr="001E1601">
        <w:rPr>
          <w:rStyle w:val="PleaseReviewParagraphId"/>
          <w:lang w:val="en-GB"/>
        </w:rPr>
        <w:t>[139]</w:t>
      </w:r>
      <w:r w:rsidRPr="001E1601">
        <w:rPr>
          <w:lang w:val="en-GB"/>
        </w:rPr>
        <w:t>7. Palp with terminal eupathidium about as long as wide; aedeagal knob about 3× as wide as neck; tarsus I with four (rarely five) tactile setae and one solenidion (rarely none) in proximal part</w:t>
      </w:r>
      <w:r w:rsidR="006B4FB1" w:rsidRPr="001E1601">
        <w:rPr>
          <w:lang w:val="en-GB"/>
        </w:rPr>
        <w:tab/>
      </w:r>
      <w:r w:rsidR="00F02868" w:rsidRPr="001E1601">
        <w:rPr>
          <w:lang w:val="en-GB"/>
        </w:rPr>
        <w:br/>
      </w:r>
      <w:r w:rsidR="00F02868" w:rsidRPr="001E1601">
        <w:rPr>
          <w:lang w:val="en-GB"/>
        </w:rPr>
        <w:tab/>
      </w:r>
      <w:r w:rsidRPr="001E1601">
        <w:rPr>
          <w:b/>
          <w:bCs/>
          <w:i/>
          <w:iCs/>
          <w:lang w:val="en-GB"/>
        </w:rPr>
        <w:t>M. manihoti</w:t>
      </w:r>
      <w:r w:rsidRPr="001E1601">
        <w:rPr>
          <w:lang w:val="en-GB"/>
        </w:rPr>
        <w:t xml:space="preserve"> Doreste, 1981</w:t>
      </w:r>
    </w:p>
    <w:p w14:paraId="491D0312" w14:textId="438F8481" w:rsidR="00171C04" w:rsidRPr="001E1601" w:rsidRDefault="006B4FB1" w:rsidP="00C30B5E">
      <w:pPr>
        <w:pStyle w:val="IPPParagraphnumbering"/>
        <w:tabs>
          <w:tab w:val="clear" w:pos="0"/>
          <w:tab w:val="right" w:leader="dot" w:pos="9072"/>
        </w:tabs>
        <w:ind w:firstLine="0"/>
        <w:rPr>
          <w:lang w:val="en-GB"/>
        </w:rPr>
      </w:pPr>
      <w:r w:rsidRPr="001E1601">
        <w:rPr>
          <w:rStyle w:val="PleaseReviewParagraphId"/>
          <w:lang w:val="en-GB"/>
        </w:rPr>
        <w:t>[140]</w:t>
      </w:r>
      <w:r w:rsidRPr="001E1601">
        <w:rPr>
          <w:lang w:val="en-GB"/>
        </w:rPr>
        <w:t>– Palp with terminal eupathidium about 1.5× as long as wide (Fig</w:t>
      </w:r>
      <w:r w:rsidR="003C10A2" w:rsidRPr="001E1601">
        <w:rPr>
          <w:lang w:val="en-GB"/>
        </w:rPr>
        <w:t>ure </w:t>
      </w:r>
      <w:r w:rsidR="00105ED0" w:rsidRPr="001E1601">
        <w:rPr>
          <w:lang w:val="en-GB"/>
        </w:rPr>
        <w:t>12A</w:t>
      </w:r>
      <w:r w:rsidRPr="001E1601">
        <w:rPr>
          <w:lang w:val="en-GB"/>
        </w:rPr>
        <w:t>); aedeagal knob about twice as wide as neck; tarsus I with five tactile setae and one solenidion in proximal part</w:t>
      </w:r>
      <w:r w:rsidR="00F02868" w:rsidRPr="001E1601">
        <w:rPr>
          <w:lang w:val="en-GB"/>
        </w:rPr>
        <w:tab/>
      </w:r>
      <w:r w:rsidR="00F02868" w:rsidRPr="001E1601">
        <w:rPr>
          <w:lang w:val="en-GB"/>
        </w:rPr>
        <w:br/>
      </w:r>
      <w:r w:rsidRPr="001E1601">
        <w:rPr>
          <w:lang w:val="en-GB"/>
        </w:rPr>
        <w:tab/>
      </w:r>
      <w:r w:rsidRPr="001E1601">
        <w:rPr>
          <w:b/>
          <w:bCs/>
          <w:i/>
          <w:lang w:val="en-GB"/>
        </w:rPr>
        <w:t>M. bondari</w:t>
      </w:r>
      <w:r w:rsidRPr="001E1601">
        <w:rPr>
          <w:lang w:val="en-GB"/>
        </w:rPr>
        <w:t xml:space="preserve"> (Paschoal, 1970)</w:t>
      </w:r>
      <w:bookmarkStart w:id="47" w:name="_Hlk72335715"/>
      <w:bookmarkEnd w:id="47"/>
    </w:p>
    <w:p w14:paraId="491D0313" w14:textId="4543D1EF" w:rsidR="00171C04" w:rsidRPr="001E1601" w:rsidRDefault="006B4FB1">
      <w:pPr>
        <w:pStyle w:val="IPPHeading2"/>
      </w:pPr>
      <w:r w:rsidRPr="001E1601">
        <w:rPr>
          <w:rStyle w:val="PleaseReviewParagraphId"/>
          <w:b w:val="0"/>
        </w:rPr>
        <w:t>[141]</w:t>
      </w:r>
      <w:r w:rsidRPr="001E1601">
        <w:t>4.6</w:t>
      </w:r>
      <w:r w:rsidRPr="001E1601">
        <w:tab/>
        <w:t xml:space="preserve">Identification of </w:t>
      </w:r>
      <w:r w:rsidRPr="001E1601">
        <w:rPr>
          <w:i/>
          <w:iCs/>
        </w:rPr>
        <w:t>Mononychellus tanajoa</w:t>
      </w:r>
    </w:p>
    <w:p w14:paraId="491D0314" w14:textId="11906C76" w:rsidR="00171C04" w:rsidRPr="001E1601" w:rsidRDefault="006B4FB1">
      <w:pPr>
        <w:pStyle w:val="IPPHeading2"/>
      </w:pPr>
      <w:r w:rsidRPr="001E1601">
        <w:rPr>
          <w:rStyle w:val="PleaseReviewParagraphId"/>
          <w:b w:val="0"/>
        </w:rPr>
        <w:t>[142]</w:t>
      </w:r>
      <w:r w:rsidRPr="001E1601">
        <w:t>4.6.1</w:t>
      </w:r>
      <w:r w:rsidRPr="001E1601">
        <w:tab/>
        <w:t>Morphological identification</w:t>
      </w:r>
    </w:p>
    <w:p w14:paraId="491D0315" w14:textId="77777777" w:rsidR="00171C04" w:rsidRPr="001E1601" w:rsidRDefault="006B4FB1">
      <w:pPr>
        <w:pStyle w:val="IPPSubheadSpace"/>
      </w:pPr>
      <w:r w:rsidRPr="001E1601">
        <w:rPr>
          <w:rStyle w:val="PleaseReviewParagraphId"/>
          <w:b w:val="0"/>
        </w:rPr>
        <w:t>[143]</w:t>
      </w:r>
      <w:r w:rsidRPr="001E1601">
        <w:t>Adult female</w:t>
      </w:r>
    </w:p>
    <w:p w14:paraId="491D0316" w14:textId="52E5BB29" w:rsidR="00171C04" w:rsidRPr="001E1601" w:rsidRDefault="39225D59" w:rsidP="00C30B5E">
      <w:pPr>
        <w:pStyle w:val="IPPParagraphnumbering"/>
        <w:tabs>
          <w:tab w:val="clear" w:pos="0"/>
        </w:tabs>
        <w:ind w:firstLine="0"/>
        <w:rPr>
          <w:lang w:val="en-GB"/>
        </w:rPr>
      </w:pPr>
      <w:r w:rsidRPr="001E1601">
        <w:rPr>
          <w:rStyle w:val="PleaseReviewParagraphId"/>
          <w:lang w:val="en-GB"/>
        </w:rPr>
        <w:t>[144]</w:t>
      </w:r>
      <w:r w:rsidRPr="001E1601">
        <w:rPr>
          <w:lang w:val="en-GB"/>
        </w:rPr>
        <w:t xml:space="preserve">Idiosoma: oval, 330–480 µm long and </w:t>
      </w:r>
      <w:r w:rsidR="001B20B8" w:rsidRPr="001E1601">
        <w:rPr>
          <w:lang w:val="en-GB"/>
        </w:rPr>
        <w:t>187–217</w:t>
      </w:r>
      <w:r w:rsidR="00E87C79" w:rsidRPr="001E1601">
        <w:rPr>
          <w:lang w:val="en-GB"/>
        </w:rPr>
        <w:t> </w:t>
      </w:r>
      <w:r w:rsidR="00E2301F" w:rsidRPr="001E1601">
        <w:rPr>
          <w:lang w:val="en-GB"/>
        </w:rPr>
        <w:t>µ</w:t>
      </w:r>
      <w:r w:rsidR="001B20B8" w:rsidRPr="001E1601">
        <w:rPr>
          <w:lang w:val="en-GB"/>
        </w:rPr>
        <w:t>m wide</w:t>
      </w:r>
      <w:r w:rsidRPr="001E1601">
        <w:rPr>
          <w:lang w:val="en-GB"/>
        </w:rPr>
        <w:t>, from greenish to yellowish in colour when alive (Figure 2A). Dorsal idiosomal setae stout, oblanceolate (Figure 3A and Figure </w:t>
      </w:r>
      <w:r w:rsidR="00105ED0" w:rsidRPr="001E1601">
        <w:rPr>
          <w:lang w:val="en-GB"/>
        </w:rPr>
        <w:t>15</w:t>
      </w:r>
      <w:r w:rsidRPr="001E1601">
        <w:rPr>
          <w:lang w:val="en-GB"/>
        </w:rPr>
        <w:t xml:space="preserve">); lobes of dorsal striae strong and rounded; </w:t>
      </w:r>
      <w:bookmarkStart w:id="48" w:name="_Hlk72337790"/>
      <w:r w:rsidRPr="001E1601">
        <w:rPr>
          <w:lang w:val="en-GB"/>
        </w:rPr>
        <w:t>prodorsum striated (Figure 3A</w:t>
      </w:r>
      <w:r w:rsidR="00B50090" w:rsidRPr="001E1601">
        <w:rPr>
          <w:lang w:val="en-GB"/>
        </w:rPr>
        <w:t>,</w:t>
      </w:r>
      <w:r w:rsidRPr="001E1601">
        <w:rPr>
          <w:lang w:val="en-GB"/>
        </w:rPr>
        <w:t xml:space="preserve"> Figure </w:t>
      </w:r>
      <w:r w:rsidR="00105ED0" w:rsidRPr="001E1601">
        <w:rPr>
          <w:lang w:val="en-GB"/>
        </w:rPr>
        <w:t>15</w:t>
      </w:r>
      <w:r w:rsidRPr="001E1601">
        <w:rPr>
          <w:lang w:val="en-GB"/>
        </w:rPr>
        <w:t>A</w:t>
      </w:r>
      <w:r w:rsidR="00B50090" w:rsidRPr="001E1601">
        <w:rPr>
          <w:lang w:val="en-GB"/>
        </w:rPr>
        <w:t>, Figure 15B and Figure 15</w:t>
      </w:r>
      <w:r w:rsidRPr="001E1601">
        <w:rPr>
          <w:lang w:val="en-GB"/>
        </w:rPr>
        <w:t>C)</w:t>
      </w:r>
      <w:bookmarkEnd w:id="48"/>
      <w:r w:rsidRPr="001E1601">
        <w:rPr>
          <w:lang w:val="en-GB"/>
        </w:rPr>
        <w:t xml:space="preserve">; seta </w:t>
      </w:r>
      <w:r w:rsidRPr="001E1601">
        <w:rPr>
          <w:i/>
          <w:iCs/>
          <w:lang w:val="en-GB"/>
        </w:rPr>
        <w:t>sc</w:t>
      </w:r>
      <w:r w:rsidRPr="001E1601">
        <w:rPr>
          <w:i/>
          <w:iCs/>
          <w:vertAlign w:val="subscript"/>
          <w:lang w:val="en-GB"/>
        </w:rPr>
        <w:t>1</w:t>
      </w:r>
      <w:r w:rsidRPr="001E1601">
        <w:rPr>
          <w:vertAlign w:val="subscript"/>
          <w:lang w:val="en-GB"/>
        </w:rPr>
        <w:t xml:space="preserve"> </w:t>
      </w:r>
      <w:r w:rsidRPr="001E1601">
        <w:rPr>
          <w:lang w:val="en-GB"/>
        </w:rPr>
        <w:t xml:space="preserve">not reaching base of </w:t>
      </w:r>
      <w:r w:rsidRPr="001E1601">
        <w:rPr>
          <w:i/>
          <w:iCs/>
          <w:lang w:val="en-GB"/>
        </w:rPr>
        <w:t>sc</w:t>
      </w:r>
      <w:r w:rsidRPr="001E1601">
        <w:rPr>
          <w:i/>
          <w:iCs/>
          <w:vertAlign w:val="subscript"/>
          <w:lang w:val="en-GB"/>
        </w:rPr>
        <w:t>2</w:t>
      </w:r>
      <w:r w:rsidRPr="001E1601">
        <w:rPr>
          <w:lang w:val="en-GB"/>
        </w:rPr>
        <w:t xml:space="preserve">; hysterosomal setae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lang w:val="en-GB"/>
        </w:rPr>
        <w:t xml:space="preserve"> and </w:t>
      </w:r>
      <w:r w:rsidRPr="001E1601">
        <w:rPr>
          <w:i/>
          <w:iCs/>
          <w:lang w:val="en-GB"/>
        </w:rPr>
        <w:t>e</w:t>
      </w:r>
      <w:r w:rsidRPr="001E1601">
        <w:rPr>
          <w:i/>
          <w:iCs/>
          <w:vertAlign w:val="subscript"/>
          <w:lang w:val="en-GB"/>
        </w:rPr>
        <w:t>1</w:t>
      </w:r>
      <w:r w:rsidRPr="001E1601">
        <w:rPr>
          <w:lang w:val="en-GB"/>
        </w:rPr>
        <w:t xml:space="preserve"> short, not reaching half of </w:t>
      </w:r>
      <w:r w:rsidR="002A6195" w:rsidRPr="001E1601">
        <w:rPr>
          <w:lang w:val="en-GB"/>
        </w:rPr>
        <w:t xml:space="preserve">the </w:t>
      </w:r>
      <w:r w:rsidRPr="001E1601">
        <w:rPr>
          <w:lang w:val="en-GB"/>
        </w:rPr>
        <w:t>distances to bases of setae in next row (Figure 3A and Figure </w:t>
      </w:r>
      <w:r w:rsidR="004C7A13" w:rsidRPr="001E1601">
        <w:rPr>
          <w:lang w:val="en-GB"/>
        </w:rPr>
        <w:t>10F</w:t>
      </w:r>
      <w:r w:rsidRPr="001E1601">
        <w:rPr>
          <w:lang w:val="en-GB"/>
        </w:rPr>
        <w:t xml:space="preserve">); </w:t>
      </w:r>
      <w:bookmarkStart w:id="49" w:name="_Hlk72337884"/>
      <w:r w:rsidRPr="001E1601">
        <w:rPr>
          <w:i/>
          <w:iCs/>
          <w:lang w:val="en-GB"/>
        </w:rPr>
        <w:t>c</w:t>
      </w:r>
      <w:r w:rsidRPr="001E1601">
        <w:rPr>
          <w:i/>
          <w:iCs/>
          <w:vertAlign w:val="subscript"/>
          <w:lang w:val="en-GB"/>
        </w:rPr>
        <w:t>1</w:t>
      </w:r>
      <w:r w:rsidRPr="001E1601">
        <w:rPr>
          <w:lang w:val="en-GB"/>
        </w:rPr>
        <w:t xml:space="preserve"> shorter than half </w:t>
      </w:r>
      <w:r w:rsidR="00E03874" w:rsidRPr="001E1601">
        <w:rPr>
          <w:lang w:val="en-GB"/>
        </w:rPr>
        <w:t xml:space="preserve">the </w:t>
      </w:r>
      <w:r w:rsidRPr="001E1601">
        <w:rPr>
          <w:lang w:val="en-GB"/>
        </w:rPr>
        <w:t xml:space="preserve">distance between </w:t>
      </w:r>
      <w:r w:rsidR="00E03874" w:rsidRPr="001E1601">
        <w:rPr>
          <w:lang w:val="en-GB"/>
        </w:rPr>
        <w:t xml:space="preserve">the two </w:t>
      </w:r>
      <w:r w:rsidRPr="001E1601">
        <w:rPr>
          <w:i/>
          <w:iCs/>
          <w:lang w:val="en-GB"/>
        </w:rPr>
        <w:t>c</w:t>
      </w:r>
      <w:r w:rsidRPr="001E1601">
        <w:rPr>
          <w:i/>
          <w:iCs/>
          <w:vertAlign w:val="subscript"/>
          <w:lang w:val="en-GB"/>
        </w:rPr>
        <w:t>1</w:t>
      </w:r>
      <w:r w:rsidRPr="001E1601">
        <w:rPr>
          <w:vertAlign w:val="subscript"/>
          <w:lang w:val="en-GB"/>
        </w:rPr>
        <w:t xml:space="preserve"> </w:t>
      </w:r>
      <w:r w:rsidR="00E03874" w:rsidRPr="001E1601">
        <w:rPr>
          <w:lang w:val="en-GB"/>
        </w:rPr>
        <w:t>setae</w:t>
      </w:r>
      <w:bookmarkEnd w:id="49"/>
      <w:r w:rsidRPr="001E1601">
        <w:rPr>
          <w:lang w:val="en-GB"/>
        </w:rPr>
        <w:t xml:space="preserve">,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about one-third </w:t>
      </w:r>
      <w:r w:rsidR="00E03874" w:rsidRPr="001E1601">
        <w:rPr>
          <w:lang w:val="en-GB"/>
        </w:rPr>
        <w:t xml:space="preserve">the </w:t>
      </w:r>
      <w:r w:rsidRPr="001E1601">
        <w:rPr>
          <w:lang w:val="en-GB"/>
        </w:rPr>
        <w:t xml:space="preserve">distance between </w:t>
      </w:r>
      <w:r w:rsidR="00E03874" w:rsidRPr="001E1601">
        <w:rPr>
          <w:lang w:val="en-GB"/>
        </w:rPr>
        <w:t xml:space="preserve">the two </w:t>
      </w:r>
      <w:r w:rsidRPr="001E1601">
        <w:rPr>
          <w:i/>
          <w:iCs/>
          <w:lang w:val="en-GB"/>
        </w:rPr>
        <w:t>d</w:t>
      </w:r>
      <w:r w:rsidRPr="001E1601">
        <w:rPr>
          <w:i/>
          <w:iCs/>
          <w:vertAlign w:val="subscript"/>
          <w:lang w:val="en-GB"/>
        </w:rPr>
        <w:t>1</w:t>
      </w:r>
      <w:r w:rsidRPr="001E1601">
        <w:rPr>
          <w:vertAlign w:val="subscript"/>
          <w:lang w:val="en-GB"/>
        </w:rPr>
        <w:t xml:space="preserve"> </w:t>
      </w:r>
      <w:r w:rsidR="00E03874" w:rsidRPr="001E1601">
        <w:rPr>
          <w:lang w:val="en-GB"/>
        </w:rPr>
        <w:t>setae</w:t>
      </w:r>
      <w:r w:rsidRPr="001E1601">
        <w:rPr>
          <w:lang w:val="en-GB"/>
        </w:rPr>
        <w:t xml:space="preserve">, </w:t>
      </w:r>
      <w:r w:rsidRPr="001E1601">
        <w:rPr>
          <w:i/>
          <w:iCs/>
          <w:lang w:val="en-GB"/>
        </w:rPr>
        <w:t>e</w:t>
      </w:r>
      <w:r w:rsidRPr="001E1601">
        <w:rPr>
          <w:i/>
          <w:iCs/>
          <w:vertAlign w:val="subscript"/>
          <w:lang w:val="en-GB"/>
        </w:rPr>
        <w:t>1</w:t>
      </w:r>
      <w:r w:rsidRPr="001E1601">
        <w:rPr>
          <w:lang w:val="en-GB"/>
        </w:rPr>
        <w:t xml:space="preserve"> shorter than half </w:t>
      </w:r>
      <w:r w:rsidR="00E03874" w:rsidRPr="001E1601">
        <w:rPr>
          <w:lang w:val="en-GB"/>
        </w:rPr>
        <w:t xml:space="preserve">the </w:t>
      </w:r>
      <w:r w:rsidRPr="001E1601">
        <w:rPr>
          <w:lang w:val="en-GB"/>
        </w:rPr>
        <w:t xml:space="preserve">distance between </w:t>
      </w:r>
      <w:r w:rsidR="00B9314E" w:rsidRPr="001E1601">
        <w:rPr>
          <w:lang w:val="en-GB"/>
        </w:rPr>
        <w:t xml:space="preserve">the two </w:t>
      </w:r>
      <w:r w:rsidRPr="001E1601">
        <w:rPr>
          <w:i/>
          <w:iCs/>
          <w:lang w:val="en-GB"/>
        </w:rPr>
        <w:t>e</w:t>
      </w:r>
      <w:r w:rsidRPr="00584267">
        <w:rPr>
          <w:i/>
          <w:iCs/>
          <w:vertAlign w:val="subscript"/>
          <w:lang w:val="en-GB"/>
        </w:rPr>
        <w:t>1</w:t>
      </w:r>
      <w:r w:rsidRPr="001E1601">
        <w:rPr>
          <w:lang w:val="en-GB"/>
        </w:rPr>
        <w:t xml:space="preserve"> </w:t>
      </w:r>
      <w:r w:rsidR="00B9314E" w:rsidRPr="001E1601">
        <w:rPr>
          <w:lang w:val="en-GB"/>
        </w:rPr>
        <w:t>setae</w:t>
      </w:r>
      <w:r w:rsidRPr="001E1601">
        <w:rPr>
          <w:lang w:val="en-GB"/>
        </w:rPr>
        <w:t xml:space="preserve">; </w:t>
      </w:r>
      <w:bookmarkStart w:id="50" w:name="_Hlk72338179"/>
      <w:r w:rsidRPr="001E1601">
        <w:rPr>
          <w:lang w:val="en-GB"/>
        </w:rPr>
        <w:t xml:space="preserve">marginal setae </w:t>
      </w:r>
      <w:r w:rsidRPr="001E1601">
        <w:rPr>
          <w:i/>
          <w:iCs/>
          <w:lang w:val="en-GB"/>
        </w:rPr>
        <w:t>c</w:t>
      </w:r>
      <w:r w:rsidRPr="001E1601">
        <w:rPr>
          <w:i/>
          <w:iCs/>
          <w:vertAlign w:val="subscript"/>
          <w:lang w:val="en-GB"/>
        </w:rPr>
        <w:t>2</w:t>
      </w:r>
      <w:r w:rsidRPr="001E1601">
        <w:rPr>
          <w:lang w:val="en-GB"/>
        </w:rPr>
        <w:t xml:space="preserve">, </w:t>
      </w:r>
      <w:r w:rsidRPr="001E1601">
        <w:rPr>
          <w:i/>
          <w:iCs/>
          <w:lang w:val="en-GB"/>
        </w:rPr>
        <w:t>d</w:t>
      </w:r>
      <w:r w:rsidRPr="001E1601">
        <w:rPr>
          <w:i/>
          <w:iCs/>
          <w:vertAlign w:val="subscript"/>
          <w:lang w:val="en-GB"/>
        </w:rPr>
        <w:t>2</w:t>
      </w:r>
      <w:r w:rsidRPr="001E1601">
        <w:rPr>
          <w:lang w:val="en-GB"/>
        </w:rPr>
        <w:t xml:space="preserve"> and </w:t>
      </w:r>
      <w:r w:rsidRPr="001E1601">
        <w:rPr>
          <w:i/>
          <w:iCs/>
          <w:lang w:val="en-GB"/>
        </w:rPr>
        <w:t>e</w:t>
      </w:r>
      <w:r w:rsidRPr="001E1601">
        <w:rPr>
          <w:i/>
          <w:iCs/>
          <w:vertAlign w:val="subscript"/>
          <w:lang w:val="en-GB"/>
        </w:rPr>
        <w:t>2</w:t>
      </w:r>
      <w:r w:rsidRPr="001E1601">
        <w:rPr>
          <w:lang w:val="en-GB"/>
        </w:rPr>
        <w:t xml:space="preserve"> about 1.4–1.8× as long as </w:t>
      </w:r>
      <w:r w:rsidRPr="001E1601">
        <w:rPr>
          <w:i/>
          <w:iCs/>
          <w:lang w:val="en-GB"/>
        </w:rPr>
        <w:t>c</w:t>
      </w:r>
      <w:r w:rsidRPr="001E1601">
        <w:rPr>
          <w:i/>
          <w:iCs/>
          <w:vertAlign w:val="subscript"/>
          <w:lang w:val="en-GB"/>
        </w:rPr>
        <w:t>1</w:t>
      </w:r>
      <w:r w:rsidRPr="001E1601">
        <w:rPr>
          <w:lang w:val="en-GB"/>
        </w:rPr>
        <w:t xml:space="preserve">,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 xml:space="preserve">and </w:t>
      </w:r>
      <w:r w:rsidRPr="001E1601">
        <w:rPr>
          <w:i/>
          <w:iCs/>
          <w:lang w:val="en-GB"/>
        </w:rPr>
        <w:t>e</w:t>
      </w:r>
      <w:r w:rsidRPr="001E1601">
        <w:rPr>
          <w:i/>
          <w:iCs/>
          <w:vertAlign w:val="subscript"/>
          <w:lang w:val="en-GB"/>
        </w:rPr>
        <w:t>1</w:t>
      </w:r>
      <w:r w:rsidRPr="001E1601">
        <w:rPr>
          <w:lang w:val="en-GB"/>
        </w:rPr>
        <w:t xml:space="preserve">, respectively; </w:t>
      </w:r>
      <w:bookmarkStart w:id="51" w:name="_Hlk72338272"/>
      <w:bookmarkEnd w:id="50"/>
      <w:r w:rsidRPr="001E1601">
        <w:rPr>
          <w:i/>
          <w:iCs/>
          <w:lang w:val="en-GB"/>
        </w:rPr>
        <w:t>f</w:t>
      </w:r>
      <w:r w:rsidRPr="001E1601">
        <w:rPr>
          <w:i/>
          <w:iCs/>
          <w:vertAlign w:val="subscript"/>
          <w:lang w:val="en-GB"/>
        </w:rPr>
        <w:t>1</w:t>
      </w:r>
      <w:r w:rsidRPr="001E1601">
        <w:rPr>
          <w:vertAlign w:val="subscript"/>
          <w:lang w:val="en-GB"/>
        </w:rPr>
        <w:t xml:space="preserve"> </w:t>
      </w:r>
      <w:r w:rsidRPr="001E1601">
        <w:rPr>
          <w:lang w:val="en-GB"/>
        </w:rPr>
        <w:t xml:space="preserve">more than twice as long as </w:t>
      </w:r>
      <w:r w:rsidRPr="001E1601">
        <w:rPr>
          <w:i/>
          <w:iCs/>
          <w:lang w:val="en-GB"/>
        </w:rPr>
        <w:t>c</w:t>
      </w:r>
      <w:r w:rsidRPr="001E1601">
        <w:rPr>
          <w:i/>
          <w:iCs/>
          <w:vertAlign w:val="subscript"/>
          <w:lang w:val="en-GB"/>
        </w:rPr>
        <w:t>1</w:t>
      </w:r>
      <w:r w:rsidRPr="001E1601">
        <w:rPr>
          <w:lang w:val="en-GB"/>
        </w:rPr>
        <w:t xml:space="preserve"> or </w:t>
      </w:r>
      <w:r w:rsidRPr="001E1601">
        <w:rPr>
          <w:i/>
          <w:iCs/>
          <w:lang w:val="en-GB"/>
        </w:rPr>
        <w:t>d</w:t>
      </w:r>
      <w:r w:rsidRPr="001E1601">
        <w:rPr>
          <w:i/>
          <w:iCs/>
          <w:vertAlign w:val="subscript"/>
          <w:lang w:val="en-GB"/>
        </w:rPr>
        <w:t>1</w:t>
      </w:r>
      <w:r w:rsidRPr="001E1601">
        <w:rPr>
          <w:vertAlign w:val="subscript"/>
          <w:lang w:val="en-GB"/>
        </w:rPr>
        <w:t xml:space="preserve"> </w:t>
      </w:r>
      <w:r w:rsidRPr="001E1601">
        <w:rPr>
          <w:lang w:val="en-GB"/>
        </w:rPr>
        <w:t>(Figure 3A and Figure </w:t>
      </w:r>
      <w:r w:rsidR="004C7A13" w:rsidRPr="001E1601">
        <w:rPr>
          <w:lang w:val="en-GB"/>
        </w:rPr>
        <w:t>10F</w:t>
      </w:r>
      <w:r w:rsidRPr="001E1601">
        <w:rPr>
          <w:lang w:val="en-GB"/>
        </w:rPr>
        <w:t xml:space="preserve">); striae between </w:t>
      </w:r>
      <w:r w:rsidRPr="001E1601">
        <w:rPr>
          <w:i/>
          <w:iCs/>
          <w:lang w:val="en-GB"/>
        </w:rPr>
        <w:t>e</w:t>
      </w:r>
      <w:r w:rsidRPr="001E1601">
        <w:rPr>
          <w:i/>
          <w:iCs/>
          <w:vertAlign w:val="subscript"/>
          <w:lang w:val="en-GB"/>
        </w:rPr>
        <w:t>1</w:t>
      </w:r>
      <w:r w:rsidRPr="001E1601">
        <w:rPr>
          <w:lang w:val="en-GB"/>
        </w:rPr>
        <w:t xml:space="preserve"> and </w:t>
      </w:r>
      <w:r w:rsidRPr="001E1601">
        <w:rPr>
          <w:i/>
          <w:iCs/>
          <w:lang w:val="en-GB"/>
        </w:rPr>
        <w:t>e</w:t>
      </w:r>
      <w:r w:rsidRPr="001E1601">
        <w:rPr>
          <w:i/>
          <w:iCs/>
          <w:vertAlign w:val="subscript"/>
          <w:lang w:val="en-GB"/>
        </w:rPr>
        <w:t>1</w:t>
      </w:r>
      <w:r w:rsidRPr="001E1601">
        <w:rPr>
          <w:lang w:val="en-GB"/>
        </w:rPr>
        <w:t xml:space="preserve"> varying from oblique to longitudinal</w:t>
      </w:r>
      <w:r w:rsidR="006B517C">
        <w:rPr>
          <w:lang w:val="en-GB"/>
        </w:rPr>
        <w:t xml:space="preserve"> (Figure</w:t>
      </w:r>
      <w:r w:rsidR="004648A7">
        <w:rPr>
          <w:lang w:val="en-GB"/>
        </w:rPr>
        <w:t xml:space="preserve"> 15D, Figure 15E and Figure 15</w:t>
      </w:r>
      <w:r w:rsidR="000F3D0C">
        <w:rPr>
          <w:lang w:val="en-GB"/>
        </w:rPr>
        <w:t>F)</w:t>
      </w:r>
      <w:r w:rsidRPr="001E1601">
        <w:rPr>
          <w:lang w:val="en-GB"/>
        </w:rPr>
        <w:t xml:space="preserve">, area posterior to </w:t>
      </w:r>
      <w:r w:rsidRPr="001E1601">
        <w:rPr>
          <w:i/>
          <w:iCs/>
          <w:lang w:val="en-GB"/>
        </w:rPr>
        <w:t>f</w:t>
      </w:r>
      <w:r w:rsidRPr="001E1601">
        <w:rPr>
          <w:i/>
          <w:iCs/>
          <w:vertAlign w:val="subscript"/>
          <w:lang w:val="en-GB"/>
        </w:rPr>
        <w:t>2</w:t>
      </w:r>
      <w:r w:rsidRPr="001E1601">
        <w:rPr>
          <w:vertAlign w:val="subscript"/>
          <w:lang w:val="en-GB"/>
        </w:rPr>
        <w:t xml:space="preserve"> </w:t>
      </w:r>
      <w:r w:rsidRPr="001E1601">
        <w:rPr>
          <w:lang w:val="en-GB"/>
        </w:rPr>
        <w:t>simply striated (Figure 3</w:t>
      </w:r>
      <w:r w:rsidR="0089317E" w:rsidRPr="001E1601">
        <w:rPr>
          <w:lang w:val="en-GB"/>
        </w:rPr>
        <w:t>,</w:t>
      </w:r>
      <w:r w:rsidRPr="001E1601">
        <w:rPr>
          <w:lang w:val="en-GB"/>
        </w:rPr>
        <w:t xml:space="preserve"> </w:t>
      </w:r>
      <w:bookmarkEnd w:id="51"/>
    </w:p>
    <w:p w14:paraId="491D0317" w14:textId="7A5A52DC" w:rsidR="00171C04" w:rsidRPr="001E1601" w:rsidRDefault="39225D59" w:rsidP="00C30B5E">
      <w:pPr>
        <w:pStyle w:val="IPPParagraphnumbering"/>
        <w:tabs>
          <w:tab w:val="clear" w:pos="0"/>
        </w:tabs>
        <w:ind w:firstLine="0"/>
        <w:rPr>
          <w:lang w:val="en-GB"/>
        </w:rPr>
      </w:pPr>
      <w:r w:rsidRPr="001E1601">
        <w:rPr>
          <w:rStyle w:val="PleaseReviewParagraphId"/>
          <w:lang w:val="en-GB"/>
        </w:rPr>
        <w:t>[145]</w:t>
      </w:r>
      <w:r w:rsidRPr="001E1601">
        <w:rPr>
          <w:lang w:val="en-GB"/>
        </w:rPr>
        <w:t xml:space="preserve">Gnathosoma: palp with </w:t>
      </w:r>
      <w:bookmarkStart w:id="52" w:name="_Hlk72338466"/>
      <w:r w:rsidRPr="001E1601">
        <w:rPr>
          <w:lang w:val="en-GB"/>
        </w:rPr>
        <w:t>terminal eupathidium about 1.5× as long as wide (Figure </w:t>
      </w:r>
      <w:r w:rsidR="0013127E" w:rsidRPr="001E1601">
        <w:rPr>
          <w:lang w:val="en-GB"/>
        </w:rPr>
        <w:t>5</w:t>
      </w:r>
      <w:r w:rsidRPr="001E1601">
        <w:rPr>
          <w:lang w:val="en-GB"/>
        </w:rPr>
        <w:t>B and Figure </w:t>
      </w:r>
      <w:r w:rsidR="003A36BF" w:rsidRPr="001E1601">
        <w:rPr>
          <w:lang w:val="en-GB"/>
        </w:rPr>
        <w:t>12F</w:t>
      </w:r>
      <w:r w:rsidRPr="001E1601">
        <w:rPr>
          <w:lang w:val="en-GB"/>
        </w:rPr>
        <w:t xml:space="preserve">). </w:t>
      </w:r>
      <w:bookmarkEnd w:id="52"/>
      <w:r w:rsidRPr="001E1601">
        <w:rPr>
          <w:lang w:val="en-GB"/>
        </w:rPr>
        <w:t>Peritreme usually distally straight, ending in a small bulb or sometimes a tiny hook</w:t>
      </w:r>
      <w:r w:rsidR="004E504A" w:rsidRPr="001E1601">
        <w:rPr>
          <w:lang w:val="en-GB"/>
        </w:rPr>
        <w:t xml:space="preserve"> (</w:t>
      </w:r>
      <w:r w:rsidRPr="001E1601">
        <w:rPr>
          <w:lang w:val="en-GB"/>
        </w:rPr>
        <w:t>Figure</w:t>
      </w:r>
      <w:r w:rsidR="00E2301F" w:rsidRPr="001E1601">
        <w:rPr>
          <w:lang w:val="en-GB"/>
        </w:rPr>
        <w:t> </w:t>
      </w:r>
      <w:r w:rsidR="00CB056E" w:rsidRPr="001E1601">
        <w:rPr>
          <w:lang w:val="en-GB"/>
        </w:rPr>
        <w:t>4F</w:t>
      </w:r>
      <w:r w:rsidRPr="001E1601">
        <w:rPr>
          <w:lang w:val="en-GB"/>
        </w:rPr>
        <w:t xml:space="preserve"> </w:t>
      </w:r>
      <w:r w:rsidR="006B4FB1" w:rsidRPr="001E1601">
        <w:rPr>
          <w:lang w:val="en-GB"/>
        </w:rPr>
        <w:t>and Figure </w:t>
      </w:r>
      <w:r w:rsidR="00B931E7" w:rsidRPr="001E1601">
        <w:rPr>
          <w:lang w:val="en-GB"/>
        </w:rPr>
        <w:t>5A</w:t>
      </w:r>
      <w:r w:rsidR="006B4FB1" w:rsidRPr="001E1601">
        <w:rPr>
          <w:lang w:val="en-GB"/>
        </w:rPr>
        <w:t>)</w:t>
      </w:r>
      <w:r w:rsidRPr="001E1601">
        <w:rPr>
          <w:lang w:val="en-GB"/>
        </w:rPr>
        <w:t>.</w:t>
      </w:r>
    </w:p>
    <w:p w14:paraId="491D0318" w14:textId="503FCE4E" w:rsidR="00171C04" w:rsidRPr="001E1601" w:rsidRDefault="006B4FB1" w:rsidP="00C30B5E">
      <w:pPr>
        <w:pStyle w:val="IPPParagraphnumbering"/>
        <w:tabs>
          <w:tab w:val="clear" w:pos="0"/>
        </w:tabs>
        <w:ind w:firstLine="0"/>
        <w:rPr>
          <w:bCs/>
          <w:lang w:val="en-GB"/>
        </w:rPr>
      </w:pPr>
      <w:r w:rsidRPr="001E1601">
        <w:rPr>
          <w:rStyle w:val="PleaseReviewParagraphId"/>
          <w:lang w:val="en-GB"/>
        </w:rPr>
        <w:t>[146]</w:t>
      </w:r>
      <w:r w:rsidRPr="001E1601">
        <w:rPr>
          <w:bCs/>
          <w:lang w:val="en-GB"/>
        </w:rPr>
        <w:t>Legs: tarsus I (Figure </w:t>
      </w:r>
      <w:r w:rsidR="00B931E7" w:rsidRPr="001E1601">
        <w:rPr>
          <w:bCs/>
          <w:lang w:val="en-GB"/>
        </w:rPr>
        <w:t>6A</w:t>
      </w:r>
      <w:r w:rsidRPr="001E1601">
        <w:rPr>
          <w:bCs/>
          <w:lang w:val="en-GB"/>
        </w:rPr>
        <w:t xml:space="preserve">) with five </w:t>
      </w:r>
      <w:bookmarkStart w:id="53" w:name="_Hlk60990020"/>
      <w:r w:rsidRPr="001E1601">
        <w:rPr>
          <w:bCs/>
          <w:lang w:val="en-GB"/>
        </w:rPr>
        <w:t xml:space="preserve">tactile setae and one </w:t>
      </w:r>
      <w:bookmarkStart w:id="54" w:name="_Hlk133876265"/>
      <w:r w:rsidRPr="001E1601">
        <w:rPr>
          <w:bCs/>
          <w:lang w:val="en-GB"/>
        </w:rPr>
        <w:t xml:space="preserve">solenidion </w:t>
      </w:r>
      <w:bookmarkStart w:id="55" w:name="_Hlk60990002"/>
      <w:bookmarkEnd w:id="53"/>
      <w:bookmarkEnd w:id="54"/>
      <w:r w:rsidRPr="001E1601">
        <w:rPr>
          <w:bCs/>
          <w:lang w:val="en-GB"/>
        </w:rPr>
        <w:t>in proximal part</w:t>
      </w:r>
      <w:bookmarkEnd w:id="55"/>
      <w:r w:rsidRPr="001E1601">
        <w:rPr>
          <w:bCs/>
          <w:lang w:val="en-GB"/>
        </w:rPr>
        <w:t>; tibia I with nine tactile setae and one solenidion; tarsus II (Figure </w:t>
      </w:r>
      <w:r w:rsidR="00B931E7" w:rsidRPr="001E1601">
        <w:rPr>
          <w:bCs/>
          <w:lang w:val="en-GB"/>
        </w:rPr>
        <w:t>6B</w:t>
      </w:r>
      <w:r w:rsidRPr="001E1601">
        <w:rPr>
          <w:bCs/>
          <w:lang w:val="en-GB"/>
        </w:rPr>
        <w:t xml:space="preserve">) with three tactile setae and one </w:t>
      </w:r>
      <w:r w:rsidR="004E504A" w:rsidRPr="001E1601">
        <w:rPr>
          <w:bCs/>
          <w:lang w:val="en-GB"/>
        </w:rPr>
        <w:t>solen</w:t>
      </w:r>
      <w:r w:rsidR="00545BDC" w:rsidRPr="001E1601">
        <w:rPr>
          <w:bCs/>
          <w:lang w:val="en-GB"/>
        </w:rPr>
        <w:t>i</w:t>
      </w:r>
      <w:r w:rsidR="004E504A" w:rsidRPr="001E1601">
        <w:rPr>
          <w:bCs/>
          <w:lang w:val="en-GB"/>
        </w:rPr>
        <w:t>d</w:t>
      </w:r>
      <w:r w:rsidR="00545BDC" w:rsidRPr="001E1601">
        <w:rPr>
          <w:bCs/>
          <w:lang w:val="en-GB"/>
        </w:rPr>
        <w:t>i</w:t>
      </w:r>
      <w:r w:rsidR="004E504A" w:rsidRPr="001E1601">
        <w:rPr>
          <w:bCs/>
          <w:lang w:val="en-GB"/>
        </w:rPr>
        <w:t>on</w:t>
      </w:r>
      <w:r w:rsidRPr="001E1601">
        <w:rPr>
          <w:bCs/>
          <w:lang w:val="en-GB"/>
        </w:rPr>
        <w:t xml:space="preserve"> in proximal part; tibia II with seven tactile setae; tarsi III (Figure </w:t>
      </w:r>
      <w:r w:rsidR="00B931E7" w:rsidRPr="001E1601">
        <w:rPr>
          <w:bCs/>
          <w:lang w:val="en-GB"/>
        </w:rPr>
        <w:t>6C</w:t>
      </w:r>
      <w:r w:rsidRPr="001E1601">
        <w:rPr>
          <w:bCs/>
          <w:lang w:val="en-GB"/>
        </w:rPr>
        <w:t>) and IV (Figure </w:t>
      </w:r>
      <w:r w:rsidR="00B931E7" w:rsidRPr="001E1601">
        <w:rPr>
          <w:bCs/>
          <w:lang w:val="en-GB"/>
        </w:rPr>
        <w:t>6D</w:t>
      </w:r>
      <w:r w:rsidRPr="001E1601">
        <w:rPr>
          <w:bCs/>
          <w:lang w:val="en-GB"/>
        </w:rPr>
        <w:t>) each with ten tactile setae and one solenidion; tibiae III and IV each with six tactile setae.</w:t>
      </w:r>
    </w:p>
    <w:p w14:paraId="491D0319" w14:textId="77777777" w:rsidR="00171C04" w:rsidRPr="001E1601" w:rsidRDefault="006B4FB1">
      <w:pPr>
        <w:pStyle w:val="IPPSubheadSpace"/>
      </w:pPr>
      <w:r w:rsidRPr="001E1601">
        <w:rPr>
          <w:rStyle w:val="PleaseReviewParagraphId"/>
          <w:b w:val="0"/>
        </w:rPr>
        <w:t>[147]</w:t>
      </w:r>
      <w:bookmarkStart w:id="56" w:name="_Hlk95746842"/>
      <w:r w:rsidRPr="001E1601">
        <w:t>Adult male</w:t>
      </w:r>
    </w:p>
    <w:p w14:paraId="491D031A" w14:textId="7807B32C" w:rsidR="00171C04" w:rsidRPr="001E1601" w:rsidRDefault="39225D59" w:rsidP="00C30B5E">
      <w:pPr>
        <w:pStyle w:val="IPPParagraphnumbering"/>
        <w:tabs>
          <w:tab w:val="clear" w:pos="0"/>
        </w:tabs>
        <w:ind w:firstLine="0"/>
        <w:rPr>
          <w:lang w:val="en-GB"/>
        </w:rPr>
      </w:pPr>
      <w:r w:rsidRPr="001E1601">
        <w:rPr>
          <w:rStyle w:val="PleaseReviewParagraphId"/>
          <w:lang w:val="en-GB"/>
        </w:rPr>
        <w:t>[148]</w:t>
      </w:r>
      <w:bookmarkStart w:id="57" w:name="_Hlk72338647"/>
      <w:bookmarkEnd w:id="56"/>
      <w:r w:rsidRPr="001E1601">
        <w:rPr>
          <w:lang w:val="en-GB"/>
        </w:rPr>
        <w:t xml:space="preserve">Idiosoma: tapered posteriorly (Figure 3A), </w:t>
      </w:r>
      <w:bookmarkStart w:id="58" w:name="_Hlk60991142"/>
      <w:bookmarkEnd w:id="57"/>
      <w:r w:rsidR="00F44C34" w:rsidRPr="001E1601">
        <w:rPr>
          <w:lang w:val="en-GB"/>
        </w:rPr>
        <w:t>275–308</w:t>
      </w:r>
      <w:r w:rsidR="00E87C79" w:rsidRPr="001E1601">
        <w:rPr>
          <w:lang w:val="en-GB"/>
        </w:rPr>
        <w:t> </w:t>
      </w:r>
      <w:r w:rsidR="00E2301F" w:rsidRPr="001E1601">
        <w:rPr>
          <w:lang w:val="en-GB"/>
        </w:rPr>
        <w:t>µ</w:t>
      </w:r>
      <w:r w:rsidR="00F44C34" w:rsidRPr="001E1601">
        <w:rPr>
          <w:lang w:val="en-GB"/>
        </w:rPr>
        <w:t>m long and 167–178</w:t>
      </w:r>
      <w:r w:rsidR="00E87C79" w:rsidRPr="001E1601">
        <w:rPr>
          <w:lang w:val="en-GB"/>
        </w:rPr>
        <w:t> </w:t>
      </w:r>
      <w:r w:rsidR="00E2301F" w:rsidRPr="001E1601">
        <w:rPr>
          <w:lang w:val="en-GB"/>
        </w:rPr>
        <w:t>µ</w:t>
      </w:r>
      <w:r w:rsidR="00F44C34" w:rsidRPr="001E1601">
        <w:rPr>
          <w:lang w:val="en-GB"/>
        </w:rPr>
        <w:t>m</w:t>
      </w:r>
      <w:r w:rsidR="00E87C79" w:rsidRPr="001E1601">
        <w:rPr>
          <w:lang w:val="en-GB"/>
        </w:rPr>
        <w:t xml:space="preserve"> </w:t>
      </w:r>
      <w:r w:rsidRPr="001E1601">
        <w:rPr>
          <w:lang w:val="en-GB"/>
        </w:rPr>
        <w:t>wide</w:t>
      </w:r>
      <w:bookmarkStart w:id="59" w:name="_Hlk72338686"/>
      <w:r w:rsidRPr="001E1601">
        <w:rPr>
          <w:lang w:val="en-GB"/>
        </w:rPr>
        <w:t xml:space="preserve">, </w:t>
      </w:r>
      <w:bookmarkEnd w:id="58"/>
      <w:r w:rsidRPr="001E1601">
        <w:rPr>
          <w:lang w:val="en-GB"/>
        </w:rPr>
        <w:t>paler than adult female when alive.</w:t>
      </w:r>
      <w:bookmarkEnd w:id="59"/>
      <w:r w:rsidRPr="001E1601">
        <w:rPr>
          <w:lang w:val="en-GB"/>
        </w:rPr>
        <w:t xml:space="preserve"> Aedeagus (Figure </w:t>
      </w:r>
      <w:r w:rsidR="002D469C" w:rsidRPr="001E1601">
        <w:rPr>
          <w:lang w:val="en-GB"/>
        </w:rPr>
        <w:t>13</w:t>
      </w:r>
      <w:r w:rsidRPr="001E1601">
        <w:rPr>
          <w:lang w:val="en-GB"/>
        </w:rPr>
        <w:t>) with main shaft nearly straight, slightly curving ventrally, progressively tapering and forming a narrow neck before reaching aedeagal knob; knob with two sharp projections (Figure </w:t>
      </w:r>
      <w:r w:rsidR="002D469C" w:rsidRPr="001E1601">
        <w:rPr>
          <w:lang w:val="en-GB"/>
        </w:rPr>
        <w:t>13</w:t>
      </w:r>
      <w:r w:rsidRPr="001E1601">
        <w:rPr>
          <w:lang w:val="en-GB"/>
        </w:rPr>
        <w:t xml:space="preserve">). </w:t>
      </w:r>
    </w:p>
    <w:p w14:paraId="491D031B" w14:textId="77777777" w:rsidR="00171C04" w:rsidRPr="001E1601" w:rsidRDefault="006B4FB1" w:rsidP="00C30B5E">
      <w:pPr>
        <w:pStyle w:val="IPPParagraphnumbering"/>
        <w:tabs>
          <w:tab w:val="clear" w:pos="0"/>
        </w:tabs>
        <w:ind w:firstLine="0"/>
        <w:rPr>
          <w:bCs/>
          <w:lang w:val="en-GB"/>
        </w:rPr>
      </w:pPr>
      <w:r w:rsidRPr="001E1601">
        <w:rPr>
          <w:rStyle w:val="PleaseReviewParagraphId"/>
          <w:lang w:val="en-GB"/>
        </w:rPr>
        <w:t>[149]</w:t>
      </w:r>
      <w:r w:rsidRPr="001E1601">
        <w:rPr>
          <w:bCs/>
          <w:lang w:val="en-GB"/>
        </w:rPr>
        <w:t>Gnathosoma: palp with terminal eupathidium apically tapered, slightly longer than wide.</w:t>
      </w:r>
    </w:p>
    <w:p w14:paraId="491D031C" w14:textId="77777777" w:rsidR="00171C04" w:rsidRPr="001E1601" w:rsidRDefault="006B4FB1" w:rsidP="00C30B5E">
      <w:pPr>
        <w:pStyle w:val="IPPParagraphnumbering"/>
        <w:tabs>
          <w:tab w:val="clear" w:pos="0"/>
        </w:tabs>
        <w:ind w:firstLine="0"/>
        <w:rPr>
          <w:bCs/>
          <w:lang w:val="en-GB"/>
        </w:rPr>
      </w:pPr>
      <w:r w:rsidRPr="001E1601">
        <w:rPr>
          <w:rStyle w:val="PleaseReviewParagraphId"/>
          <w:lang w:val="en-GB"/>
        </w:rPr>
        <w:t>[150]</w:t>
      </w:r>
      <w:r w:rsidRPr="001E1601">
        <w:rPr>
          <w:bCs/>
          <w:lang w:val="en-GB"/>
        </w:rPr>
        <w:t>Legs: tarsus I with five tactile setae and three solenidia in proximal part; tibia I with nine tactile setae and three solenidia; tarsus II with three tactile setae and one solenidion in proximal part; tibia II with seven tactile setae.</w:t>
      </w:r>
      <w:bookmarkStart w:id="60" w:name="_Hlk60927069"/>
      <w:bookmarkStart w:id="61" w:name="_Hlk60991149"/>
      <w:bookmarkEnd w:id="60"/>
      <w:bookmarkEnd w:id="61"/>
    </w:p>
    <w:p w14:paraId="491D031D" w14:textId="24256433" w:rsidR="00171C04" w:rsidRPr="001E1601" w:rsidRDefault="006B4FB1">
      <w:pPr>
        <w:pStyle w:val="IPPHeading2"/>
      </w:pPr>
      <w:r w:rsidRPr="001E1601">
        <w:rPr>
          <w:rStyle w:val="PleaseReviewParagraphId"/>
          <w:b w:val="0"/>
        </w:rPr>
        <w:t>[151]</w:t>
      </w:r>
      <w:bookmarkStart w:id="62" w:name="_Hlk95743384"/>
      <w:r w:rsidRPr="001E1601">
        <w:t>4.6.2</w:t>
      </w:r>
      <w:r w:rsidRPr="001E1601">
        <w:tab/>
        <w:t>Molecular identification</w:t>
      </w:r>
    </w:p>
    <w:p w14:paraId="491D031E" w14:textId="0CA8FD33" w:rsidR="00171C04" w:rsidRPr="001E1601" w:rsidRDefault="006B4FB1" w:rsidP="00C30B5E">
      <w:pPr>
        <w:pStyle w:val="IPPParagraphnumbering"/>
        <w:tabs>
          <w:tab w:val="clear" w:pos="0"/>
        </w:tabs>
        <w:ind w:firstLine="0"/>
        <w:rPr>
          <w:szCs w:val="22"/>
          <w:lang w:val="en-GB"/>
        </w:rPr>
      </w:pPr>
      <w:r w:rsidRPr="001E1601">
        <w:rPr>
          <w:rStyle w:val="PleaseReviewParagraphId"/>
          <w:lang w:val="en-GB"/>
        </w:rPr>
        <w:t>[152]</w:t>
      </w:r>
      <w:bookmarkStart w:id="63" w:name="_Hlk100642920"/>
      <w:bookmarkEnd w:id="62"/>
      <w:r w:rsidR="00584CDC" w:rsidRPr="001E1601">
        <w:rPr>
          <w:lang w:val="en-GB"/>
        </w:rPr>
        <w:t>M</w:t>
      </w:r>
      <w:r w:rsidRPr="001E1601">
        <w:rPr>
          <w:lang w:val="en-GB"/>
        </w:rPr>
        <w:t>itochondrial DNA sequencing</w:t>
      </w:r>
      <w:r w:rsidR="00584CDC" w:rsidRPr="001E1601">
        <w:rPr>
          <w:lang w:val="en-GB"/>
        </w:rPr>
        <w:t xml:space="preserve"> of </w:t>
      </w:r>
      <w:r w:rsidR="00D759C2" w:rsidRPr="001E1601">
        <w:rPr>
          <w:lang w:val="en-GB"/>
        </w:rPr>
        <w:t xml:space="preserve">the </w:t>
      </w:r>
      <w:r w:rsidR="00584CDC" w:rsidRPr="001E1601">
        <w:rPr>
          <w:i/>
          <w:lang w:val="en-GB"/>
        </w:rPr>
        <w:t>COI</w:t>
      </w:r>
      <w:r w:rsidR="00584CDC" w:rsidRPr="001E1601">
        <w:rPr>
          <w:lang w:val="en-GB"/>
        </w:rPr>
        <w:t xml:space="preserve"> gene can be used to support identification of </w:t>
      </w:r>
      <w:r w:rsidR="00584CDC" w:rsidRPr="001E1601">
        <w:rPr>
          <w:i/>
          <w:lang w:val="en-GB"/>
        </w:rPr>
        <w:t>M.</w:t>
      </w:r>
      <w:r w:rsidR="00545BDC" w:rsidRPr="001E1601">
        <w:rPr>
          <w:i/>
          <w:lang w:val="en-GB"/>
        </w:rPr>
        <w:t> </w:t>
      </w:r>
      <w:r w:rsidR="00584CDC" w:rsidRPr="001E1601">
        <w:rPr>
          <w:i/>
          <w:lang w:val="en-GB"/>
        </w:rPr>
        <w:t>tanajoa</w:t>
      </w:r>
      <w:r w:rsidR="00584CDC" w:rsidRPr="001E1601">
        <w:rPr>
          <w:lang w:val="en-GB"/>
        </w:rPr>
        <w:t>, irrespective of the developmental stage</w:t>
      </w:r>
      <w:r w:rsidRPr="001E1601">
        <w:rPr>
          <w:lang w:val="en-GB"/>
        </w:rPr>
        <w:t xml:space="preserve">. </w:t>
      </w:r>
    </w:p>
    <w:bookmarkEnd w:id="63"/>
    <w:p w14:paraId="491D0320" w14:textId="77777777" w:rsidR="00171C04" w:rsidRPr="001E1601" w:rsidRDefault="006B4FB1">
      <w:pPr>
        <w:pStyle w:val="IPPHeading3"/>
      </w:pPr>
      <w:r w:rsidRPr="001E1601">
        <w:rPr>
          <w:rStyle w:val="PleaseReviewParagraphId"/>
          <w:b w:val="0"/>
          <w:i w:val="0"/>
        </w:rPr>
        <w:lastRenderedPageBreak/>
        <w:t>[154]</w:t>
      </w:r>
      <w:r w:rsidRPr="001E1601">
        <w:t>4.6.2.1</w:t>
      </w:r>
      <w:r w:rsidRPr="001E1601">
        <w:tab/>
        <w:t>Extraction of nucleic acid</w:t>
      </w:r>
    </w:p>
    <w:p w14:paraId="491D0321" w14:textId="53DDE0E5" w:rsidR="00171C04" w:rsidRPr="001E1601" w:rsidRDefault="006B4FB1" w:rsidP="00C30B5E">
      <w:pPr>
        <w:pStyle w:val="IPPParagraphnumbering"/>
        <w:tabs>
          <w:tab w:val="clear" w:pos="0"/>
        </w:tabs>
        <w:ind w:firstLine="0"/>
        <w:rPr>
          <w:vertAlign w:val="superscript"/>
          <w:lang w:val="en-GB"/>
        </w:rPr>
      </w:pPr>
      <w:r w:rsidRPr="001E1601">
        <w:rPr>
          <w:rStyle w:val="PleaseReviewParagraphId"/>
          <w:lang w:val="en-GB"/>
        </w:rPr>
        <w:t>[155]</w:t>
      </w:r>
      <w:r w:rsidRPr="001E1601">
        <w:rPr>
          <w:lang w:val="en-GB"/>
        </w:rPr>
        <w:t xml:space="preserve">Genomic DNA should be extracted from a single specimen of any developmental stage, since infestation by more than one species on the same host plant (mixed infestation) is typical for spider mites. There are many different methods available for DNA extraction, such as the modified cetyltrimethylammonium bromide method (potassium acetate 2.5 M, pH 5.5) (Ovalle </w:t>
      </w:r>
      <w:r w:rsidRPr="001E1601">
        <w:rPr>
          <w:i/>
          <w:iCs/>
          <w:lang w:val="en-GB"/>
        </w:rPr>
        <w:t>et al</w:t>
      </w:r>
      <w:r w:rsidRPr="001E1601">
        <w:rPr>
          <w:lang w:val="en-GB"/>
        </w:rPr>
        <w:t>.</w:t>
      </w:r>
      <w:r w:rsidR="00267AE9" w:rsidRPr="001E1601">
        <w:rPr>
          <w:lang w:val="en-GB"/>
        </w:rPr>
        <w:t>,</w:t>
      </w:r>
      <w:r w:rsidRPr="001E1601">
        <w:rPr>
          <w:lang w:val="en-GB"/>
        </w:rPr>
        <w:t xml:space="preserve"> 2020), the </w:t>
      </w:r>
      <w:bookmarkStart w:id="64" w:name="_Hlk133877615"/>
      <w:r w:rsidRPr="001E1601">
        <w:rPr>
          <w:lang w:val="en-GB"/>
        </w:rPr>
        <w:t>DNeasy</w:t>
      </w:r>
      <w:r w:rsidR="00AA6198" w:rsidRPr="00AA6198">
        <w:t xml:space="preserve"> </w:t>
      </w:r>
      <w:r w:rsidR="00AA6198" w:rsidRPr="00AA6198">
        <w:rPr>
          <w:lang w:val="en-GB"/>
        </w:rPr>
        <w:t>®</w:t>
      </w:r>
      <w:r w:rsidRPr="001E1601">
        <w:rPr>
          <w:lang w:val="en-GB"/>
        </w:rPr>
        <w:t xml:space="preserve"> Blood and Tissue Kit </w:t>
      </w:r>
      <w:bookmarkEnd w:id="64"/>
      <w:r w:rsidR="007E5458" w:rsidRPr="001E1601">
        <w:rPr>
          <w:lang w:val="en-GB"/>
        </w:rPr>
        <w:t>(QIAGEN</w:t>
      </w:r>
      <w:r w:rsidR="00F91F5A" w:rsidRPr="00F91F5A">
        <w:rPr>
          <w:sz w:val="20"/>
          <w:szCs w:val="20"/>
        </w:rPr>
        <w:t xml:space="preserve"> </w:t>
      </w:r>
      <w:r w:rsidR="00F91F5A">
        <w:rPr>
          <w:rStyle w:val="cf01"/>
          <w:sz w:val="20"/>
          <w:szCs w:val="20"/>
        </w:rPr>
        <w:t>™</w:t>
      </w:r>
      <w:r w:rsidR="007E5458" w:rsidRPr="001E1601">
        <w:rPr>
          <w:lang w:val="en-GB"/>
        </w:rPr>
        <w:t xml:space="preserve">) </w:t>
      </w:r>
      <w:r w:rsidRPr="001E1601">
        <w:rPr>
          <w:lang w:val="en-GB"/>
        </w:rPr>
        <w:t xml:space="preserve">(de Mendonça </w:t>
      </w:r>
      <w:r w:rsidRPr="001E1601">
        <w:rPr>
          <w:i/>
          <w:iCs/>
          <w:lang w:val="en-GB"/>
        </w:rPr>
        <w:t>et al.</w:t>
      </w:r>
      <w:r w:rsidRPr="001E1601">
        <w:rPr>
          <w:lang w:val="en-GB"/>
        </w:rPr>
        <w:t xml:space="preserve">, 2011; Li </w:t>
      </w:r>
      <w:r w:rsidRPr="001E1601">
        <w:rPr>
          <w:i/>
          <w:iCs/>
          <w:lang w:val="en-GB"/>
        </w:rPr>
        <w:t>et al</w:t>
      </w:r>
      <w:r w:rsidRPr="001E1601">
        <w:rPr>
          <w:lang w:val="en-GB"/>
        </w:rPr>
        <w:t>.</w:t>
      </w:r>
      <w:r w:rsidR="00B50090" w:rsidRPr="001E1601">
        <w:rPr>
          <w:lang w:val="en-GB"/>
        </w:rPr>
        <w:t>,</w:t>
      </w:r>
      <w:r w:rsidRPr="001E1601">
        <w:rPr>
          <w:lang w:val="en-GB"/>
        </w:rPr>
        <w:t xml:space="preserve"> 2015) and the </w:t>
      </w:r>
      <w:bookmarkStart w:id="65" w:name="_Hlk133878002"/>
      <w:r w:rsidRPr="001E1601">
        <w:rPr>
          <w:lang w:val="en-GB"/>
        </w:rPr>
        <w:t>PrepMan Ultra Sample Preparation Reagent</w:t>
      </w:r>
      <w:r w:rsidR="007E5458" w:rsidRPr="001E1601">
        <w:rPr>
          <w:lang w:val="en-GB"/>
        </w:rPr>
        <w:t xml:space="preserve"> </w:t>
      </w:r>
      <w:bookmarkEnd w:id="65"/>
      <w:r w:rsidR="007E5458" w:rsidRPr="001E1601">
        <w:rPr>
          <w:lang w:val="en-GB"/>
        </w:rPr>
        <w:t>(Thermo Fisher Scientific)</w:t>
      </w:r>
      <w:r w:rsidR="007E5458" w:rsidRPr="001E1601" w:rsidDel="00E87C79">
        <w:rPr>
          <w:vertAlign w:val="superscript"/>
          <w:lang w:val="en-GB"/>
        </w:rPr>
        <w:t xml:space="preserve"> </w:t>
      </w:r>
      <w:r w:rsidRPr="001E1601">
        <w:rPr>
          <w:lang w:val="en-GB"/>
        </w:rPr>
        <w:t xml:space="preserve">(Matsuda </w:t>
      </w:r>
      <w:r w:rsidRPr="001E1601">
        <w:rPr>
          <w:i/>
          <w:iCs/>
          <w:lang w:val="en-GB"/>
        </w:rPr>
        <w:t>et al</w:t>
      </w:r>
      <w:r w:rsidRPr="001E1601">
        <w:rPr>
          <w:lang w:val="en-GB"/>
        </w:rPr>
        <w:t>., 2013).</w:t>
      </w:r>
      <w:r w:rsidR="00E87C79" w:rsidRPr="001E1601">
        <w:rPr>
          <w:lang w:val="en-GB"/>
        </w:rPr>
        <w:fldChar w:fldCharType="begin"/>
      </w:r>
      <w:r w:rsidR="00E87C79" w:rsidRPr="001E1601">
        <w:rPr>
          <w:lang w:val="en-GB"/>
        </w:rPr>
        <w:instrText xml:space="preserve"> NOTEREF _Ref133781104 \f </w:instrText>
      </w:r>
      <w:r w:rsidR="00E87C79" w:rsidRPr="001E1601">
        <w:rPr>
          <w:lang w:val="en-GB"/>
        </w:rPr>
        <w:fldChar w:fldCharType="separate"/>
      </w:r>
      <w:r w:rsidR="00E87C79" w:rsidRPr="00584267">
        <w:rPr>
          <w:rStyle w:val="FootnoteReference"/>
        </w:rPr>
        <w:t>1</w:t>
      </w:r>
      <w:r w:rsidR="00E87C79" w:rsidRPr="001E1601">
        <w:rPr>
          <w:lang w:val="en-GB"/>
        </w:rPr>
        <w:fldChar w:fldCharType="end"/>
      </w:r>
    </w:p>
    <w:p w14:paraId="491D0322" w14:textId="4598EE2C" w:rsidR="00171C04" w:rsidRPr="001E1601" w:rsidRDefault="006B4FB1">
      <w:pPr>
        <w:pStyle w:val="IPPHeading3"/>
      </w:pPr>
      <w:r w:rsidRPr="001E1601">
        <w:rPr>
          <w:rStyle w:val="PleaseReviewParagraphId"/>
          <w:b w:val="0"/>
          <w:i w:val="0"/>
        </w:rPr>
        <w:t>[157]</w:t>
      </w:r>
      <w:bookmarkStart w:id="66" w:name="_Hlk89286533"/>
      <w:r w:rsidRPr="001E1601">
        <w:t>4.6.2.2</w:t>
      </w:r>
      <w:r w:rsidRPr="001E1601">
        <w:tab/>
        <w:t xml:space="preserve">Conventional PCR and </w:t>
      </w:r>
      <w:r w:rsidR="004F422F" w:rsidRPr="001E1601">
        <w:t>s</w:t>
      </w:r>
      <w:r w:rsidR="009F05DD" w:rsidRPr="001E1601">
        <w:t>equencing</w:t>
      </w:r>
    </w:p>
    <w:p w14:paraId="491D0323" w14:textId="77777777" w:rsidR="00171C04" w:rsidRPr="001E1601" w:rsidRDefault="006B4FB1" w:rsidP="00C30B5E">
      <w:pPr>
        <w:pStyle w:val="IPPParagraphnumberingclose"/>
        <w:tabs>
          <w:tab w:val="clear" w:pos="0"/>
        </w:tabs>
        <w:ind w:firstLine="0"/>
        <w:rPr>
          <w:lang w:val="en-GB"/>
        </w:rPr>
      </w:pPr>
      <w:r w:rsidRPr="001E1601">
        <w:rPr>
          <w:rStyle w:val="PleaseReviewParagraphId"/>
          <w:lang w:val="en-GB"/>
        </w:rPr>
        <w:t>[158]</w:t>
      </w:r>
      <w:bookmarkStart w:id="67" w:name="_Hlk95748694"/>
      <w:bookmarkStart w:id="68" w:name="_Hlk100643570"/>
      <w:bookmarkEnd w:id="66"/>
      <w:r w:rsidRPr="001E1601">
        <w:rPr>
          <w:lang w:val="en-GB"/>
        </w:rPr>
        <w:t>The DNA extracted can be used for polymerase chain reaction (PCR) amplification</w:t>
      </w:r>
      <w:bookmarkStart w:id="69" w:name="_Hlk95748496"/>
      <w:r w:rsidRPr="001E1601">
        <w:rPr>
          <w:lang w:val="en-GB"/>
        </w:rPr>
        <w:t xml:space="preserve"> </w:t>
      </w:r>
      <w:bookmarkEnd w:id="67"/>
      <w:r w:rsidRPr="001E1601">
        <w:rPr>
          <w:lang w:val="en-GB"/>
        </w:rPr>
        <w:t>of the DNA barcoding</w:t>
      </w:r>
      <w:r w:rsidRPr="001E1601">
        <w:rPr>
          <w:rFonts w:eastAsia="AdvOT596495f2+20"/>
          <w:lang w:val="en-GB"/>
        </w:rPr>
        <w:t xml:space="preserve"> </w:t>
      </w:r>
      <w:r w:rsidRPr="001E1601">
        <w:rPr>
          <w:lang w:val="en-GB"/>
        </w:rPr>
        <w:t xml:space="preserve">region as chosen by the Consortium for the Barcode of Life with the following primers presented by Folmer </w:t>
      </w:r>
      <w:r w:rsidRPr="001E1601">
        <w:rPr>
          <w:i/>
          <w:iCs/>
          <w:lang w:val="en-GB"/>
        </w:rPr>
        <w:t>et al</w:t>
      </w:r>
      <w:r w:rsidRPr="001E1601">
        <w:rPr>
          <w:lang w:val="en-GB"/>
        </w:rPr>
        <w:t xml:space="preserve">. (1994): </w:t>
      </w:r>
      <w:bookmarkEnd w:id="69"/>
    </w:p>
    <w:p w14:paraId="491D0324" w14:textId="77777777" w:rsidR="00171C04" w:rsidRPr="001E1601" w:rsidRDefault="006B4FB1">
      <w:pPr>
        <w:pStyle w:val="IPPIndentClose"/>
      </w:pPr>
      <w:r w:rsidRPr="001E1601">
        <w:rPr>
          <w:rStyle w:val="PleaseReviewParagraphId"/>
        </w:rPr>
        <w:t>[159]</w:t>
      </w:r>
      <w:bookmarkStart w:id="70" w:name="_Hlk95662398"/>
      <w:r w:rsidRPr="001E1601">
        <w:t xml:space="preserve">LCO1490 (forward): </w:t>
      </w:r>
      <w:bookmarkEnd w:id="70"/>
      <w:r w:rsidRPr="001E1601">
        <w:t>5′-GGT CAA CAA ATC ATA AAG ATA TTG G-3′</w:t>
      </w:r>
    </w:p>
    <w:p w14:paraId="491D0325" w14:textId="77777777" w:rsidR="00171C04" w:rsidRPr="001E1601" w:rsidRDefault="006B4FB1">
      <w:pPr>
        <w:pStyle w:val="IPPIndent"/>
      </w:pPr>
      <w:r w:rsidRPr="001E1601">
        <w:rPr>
          <w:rStyle w:val="PleaseReviewParagraphId"/>
        </w:rPr>
        <w:t>[160]</w:t>
      </w:r>
      <w:r w:rsidRPr="001E1601">
        <w:t>HCO2198 (reverse): 5′-TAA ACT TCA GGG TGA CCA AAA AAT CA-3′</w:t>
      </w:r>
    </w:p>
    <w:p w14:paraId="491D0329" w14:textId="25194C65" w:rsidR="00171C04" w:rsidRPr="001E1601" w:rsidRDefault="006B4FB1" w:rsidP="00C30B5E">
      <w:pPr>
        <w:pStyle w:val="IPPParagraphnumbering"/>
        <w:tabs>
          <w:tab w:val="clear" w:pos="0"/>
        </w:tabs>
        <w:ind w:firstLine="0"/>
        <w:rPr>
          <w:lang w:val="en-GB"/>
        </w:rPr>
      </w:pPr>
      <w:r w:rsidRPr="001E1601">
        <w:rPr>
          <w:rStyle w:val="PleaseReviewParagraphId"/>
          <w:lang w:val="en-GB"/>
        </w:rPr>
        <w:t>[164]</w:t>
      </w:r>
      <w:r w:rsidRPr="001E1601">
        <w:rPr>
          <w:lang w:val="en-GB"/>
        </w:rPr>
        <w:t xml:space="preserve">Ovalle </w:t>
      </w:r>
      <w:r w:rsidRPr="001E1601">
        <w:rPr>
          <w:i/>
          <w:iCs/>
          <w:lang w:val="en-GB"/>
        </w:rPr>
        <w:t>et al</w:t>
      </w:r>
      <w:r w:rsidRPr="001E1601">
        <w:rPr>
          <w:lang w:val="en-GB"/>
        </w:rPr>
        <w:t>. (2020) provide an example</w:t>
      </w:r>
      <w:r w:rsidR="00A74469" w:rsidRPr="001E1601">
        <w:rPr>
          <w:lang w:val="en-GB"/>
        </w:rPr>
        <w:t xml:space="preserve"> </w:t>
      </w:r>
      <w:r w:rsidR="00AB5AF6" w:rsidRPr="001E1601">
        <w:rPr>
          <w:lang w:val="en-GB"/>
        </w:rPr>
        <w:t xml:space="preserve">of the master mix composition and cycling parameters </w:t>
      </w:r>
      <w:r w:rsidRPr="001E1601">
        <w:rPr>
          <w:lang w:val="en-GB"/>
        </w:rPr>
        <w:t xml:space="preserve">for the amplification of </w:t>
      </w:r>
      <w:r w:rsidRPr="001E1601">
        <w:rPr>
          <w:i/>
          <w:iCs/>
          <w:lang w:val="en-GB"/>
        </w:rPr>
        <w:t>COI</w:t>
      </w:r>
      <w:r w:rsidR="00352FFC" w:rsidRPr="001E1601">
        <w:rPr>
          <w:i/>
          <w:iCs/>
          <w:lang w:val="en-GB"/>
        </w:rPr>
        <w:t xml:space="preserve"> </w:t>
      </w:r>
      <w:r w:rsidR="00352FFC" w:rsidRPr="001E1601">
        <w:rPr>
          <w:lang w:val="en-GB"/>
        </w:rPr>
        <w:t xml:space="preserve">using the primers presented by Folmer </w:t>
      </w:r>
      <w:r w:rsidR="00352FFC" w:rsidRPr="001E1601">
        <w:rPr>
          <w:i/>
          <w:iCs/>
          <w:lang w:val="en-GB"/>
        </w:rPr>
        <w:t>et al</w:t>
      </w:r>
      <w:r w:rsidR="00352FFC" w:rsidRPr="001E1601">
        <w:rPr>
          <w:lang w:val="en-GB"/>
        </w:rPr>
        <w:t>. (1994)</w:t>
      </w:r>
      <w:r w:rsidRPr="001E1601">
        <w:rPr>
          <w:lang w:val="en-GB"/>
        </w:rPr>
        <w:t xml:space="preserve"> </w:t>
      </w:r>
      <w:r w:rsidR="00DE145D" w:rsidRPr="001E1601">
        <w:rPr>
          <w:lang w:val="en-GB"/>
        </w:rPr>
        <w:t>(</w:t>
      </w:r>
      <w:r w:rsidR="004E504A" w:rsidRPr="001E1601">
        <w:rPr>
          <w:szCs w:val="22"/>
          <w:lang w:val="en-GB"/>
        </w:rPr>
        <w:t>Table</w:t>
      </w:r>
      <w:r w:rsidR="00267AE9" w:rsidRPr="001E1601">
        <w:rPr>
          <w:szCs w:val="22"/>
          <w:lang w:val="en-GB"/>
        </w:rPr>
        <w:t> </w:t>
      </w:r>
      <w:r w:rsidR="004E504A" w:rsidRPr="001E1601">
        <w:rPr>
          <w:szCs w:val="22"/>
          <w:lang w:val="en-GB"/>
        </w:rPr>
        <w:t>1</w:t>
      </w:r>
      <w:r w:rsidR="00AB5AF6" w:rsidRPr="001E1601">
        <w:rPr>
          <w:szCs w:val="22"/>
          <w:lang w:val="en-GB"/>
        </w:rPr>
        <w:t>)</w:t>
      </w:r>
      <w:r w:rsidRPr="001E1601">
        <w:rPr>
          <w:lang w:val="en-GB"/>
        </w:rPr>
        <w:t>.</w:t>
      </w:r>
    </w:p>
    <w:p w14:paraId="491D032A" w14:textId="4AE5D913" w:rsidR="00171C04" w:rsidRPr="001E1601" w:rsidRDefault="006B4FB1" w:rsidP="000D78C1">
      <w:pPr>
        <w:pStyle w:val="IPPArial"/>
        <w:keepNext/>
        <w:pageBreakBefore/>
        <w:spacing w:after="120"/>
        <w:rPr>
          <w:i/>
          <w:iCs/>
        </w:rPr>
      </w:pPr>
      <w:r w:rsidRPr="001E1601">
        <w:rPr>
          <w:rStyle w:val="PleaseReviewParagraphId"/>
        </w:rPr>
        <w:lastRenderedPageBreak/>
        <w:t>[165]</w:t>
      </w:r>
      <w:r w:rsidRPr="001E1601">
        <w:rPr>
          <w:b/>
          <w:bCs/>
        </w:rPr>
        <w:t xml:space="preserve">Table 1. </w:t>
      </w:r>
      <w:r w:rsidRPr="001E1601">
        <w:t xml:space="preserve">Master mix composition, cycling parameters and amplicons for PCR to distinguish </w:t>
      </w:r>
      <w:r w:rsidRPr="001E1601">
        <w:rPr>
          <w:i/>
          <w:iCs/>
        </w:rPr>
        <w:t xml:space="preserve">Mononychellus tanajoa </w:t>
      </w:r>
      <w:r w:rsidRPr="001E1601">
        <w:t xml:space="preserve">from </w:t>
      </w:r>
      <w:r w:rsidRPr="001E1601">
        <w:rPr>
          <w:i/>
          <w:iCs/>
        </w:rPr>
        <w:t>M</w:t>
      </w:r>
      <w:r w:rsidR="00267AE9" w:rsidRPr="001E1601">
        <w:rPr>
          <w:i/>
          <w:iCs/>
        </w:rPr>
        <w:t>ononychellus</w:t>
      </w:r>
      <w:r w:rsidRPr="001E1601">
        <w:rPr>
          <w:i/>
          <w:iCs/>
        </w:rPr>
        <w:t xml:space="preserve"> caribbeanae</w:t>
      </w:r>
      <w:r w:rsidRPr="001E1601">
        <w:t xml:space="preserve">, </w:t>
      </w:r>
      <w:r w:rsidRPr="001E1601">
        <w:rPr>
          <w:i/>
          <w:iCs/>
        </w:rPr>
        <w:t>M</w:t>
      </w:r>
      <w:r w:rsidR="00267AE9" w:rsidRPr="001E1601">
        <w:rPr>
          <w:i/>
          <w:iCs/>
        </w:rPr>
        <w:t>ononychellus</w:t>
      </w:r>
      <w:r w:rsidRPr="001E1601">
        <w:rPr>
          <w:i/>
          <w:iCs/>
        </w:rPr>
        <w:t xml:space="preserve"> mcgregori</w:t>
      </w:r>
      <w:r w:rsidRPr="001E1601">
        <w:t xml:space="preserve"> and </w:t>
      </w:r>
      <w:bookmarkStart w:id="71" w:name="_GoBack"/>
      <w:bookmarkEnd w:id="71"/>
      <w:r w:rsidRPr="001E1601">
        <w:rPr>
          <w:i/>
          <w:iCs/>
        </w:rPr>
        <w:t>Tetranychus urticae</w:t>
      </w:r>
      <w:r w:rsidRPr="001E1601">
        <w:t xml:space="preserve"> </w:t>
      </w:r>
    </w:p>
    <w:tbl>
      <w:tblPr>
        <w:tblW w:w="0" w:type="auto"/>
        <w:tblInd w:w="111" w:type="dxa"/>
        <w:tblCellMar>
          <w:left w:w="0" w:type="dxa"/>
          <w:right w:w="0" w:type="dxa"/>
        </w:tblCellMar>
        <w:tblLook w:val="04A0" w:firstRow="1" w:lastRow="0" w:firstColumn="1" w:lastColumn="0" w:noHBand="0" w:noVBand="1"/>
      </w:tblPr>
      <w:tblGrid>
        <w:gridCol w:w="3150"/>
        <w:gridCol w:w="5528"/>
      </w:tblGrid>
      <w:tr w:rsidR="00171C04" w:rsidRPr="001E1601" w14:paraId="491D032D" w14:textId="77777777">
        <w:trPr>
          <w:trHeight w:hRule="exact" w:val="336"/>
        </w:trPr>
        <w:tc>
          <w:tcPr>
            <w:tcW w:w="3150" w:type="dxa"/>
            <w:tcBorders>
              <w:top w:val="single" w:sz="8" w:space="0" w:color="000000"/>
              <w:left w:val="nil"/>
              <w:bottom w:val="single" w:sz="8" w:space="0" w:color="000000"/>
              <w:right w:val="nil"/>
            </w:tcBorders>
            <w:shd w:val="clear" w:color="auto" w:fill="BEBEBE"/>
            <w:hideMark/>
          </w:tcPr>
          <w:p w14:paraId="491D032B" w14:textId="77777777" w:rsidR="00171C04" w:rsidRPr="001E1601" w:rsidRDefault="006B4FB1" w:rsidP="00C30B5E">
            <w:pPr>
              <w:pStyle w:val="IPPArialTable"/>
            </w:pPr>
            <w:r w:rsidRPr="001E1601">
              <w:rPr>
                <w:rStyle w:val="PleaseReviewParagraphId"/>
              </w:rPr>
              <w:t>[166]</w:t>
            </w:r>
            <w:r w:rsidRPr="001E1601">
              <w:rPr>
                <w:b/>
                <w:bCs/>
              </w:rPr>
              <w:t>Reagents</w:t>
            </w:r>
          </w:p>
        </w:tc>
        <w:tc>
          <w:tcPr>
            <w:tcW w:w="5528" w:type="dxa"/>
            <w:tcBorders>
              <w:top w:val="single" w:sz="8" w:space="0" w:color="000000"/>
              <w:left w:val="nil"/>
              <w:bottom w:val="single" w:sz="8" w:space="0" w:color="000000"/>
              <w:right w:val="nil"/>
            </w:tcBorders>
            <w:shd w:val="clear" w:color="auto" w:fill="BEBEBE"/>
            <w:hideMark/>
          </w:tcPr>
          <w:p w14:paraId="491D032C" w14:textId="77777777" w:rsidR="00171C04" w:rsidRPr="001E1601" w:rsidRDefault="006B4FB1" w:rsidP="00C30B5E">
            <w:pPr>
              <w:pStyle w:val="IPPArialTable"/>
            </w:pPr>
            <w:r w:rsidRPr="001E1601">
              <w:rPr>
                <w:rStyle w:val="PleaseReviewParagraphId"/>
              </w:rPr>
              <w:t>[167]</w:t>
            </w:r>
            <w:r w:rsidRPr="001E1601">
              <w:rPr>
                <w:b/>
                <w:bCs/>
              </w:rPr>
              <w:t>Final concentration</w:t>
            </w:r>
          </w:p>
        </w:tc>
      </w:tr>
      <w:tr w:rsidR="00171C04" w:rsidRPr="001E1601" w14:paraId="491D0330" w14:textId="77777777">
        <w:trPr>
          <w:trHeight w:hRule="exact" w:val="336"/>
        </w:trPr>
        <w:tc>
          <w:tcPr>
            <w:tcW w:w="3150" w:type="dxa"/>
            <w:hideMark/>
          </w:tcPr>
          <w:p w14:paraId="491D032E" w14:textId="2DAB2C62" w:rsidR="00171C04" w:rsidRPr="001E1601" w:rsidRDefault="006B4FB1" w:rsidP="00C30B5E">
            <w:pPr>
              <w:pStyle w:val="IPPArialTable"/>
            </w:pPr>
            <w:r w:rsidRPr="001E1601">
              <w:rPr>
                <w:rStyle w:val="PleaseReviewParagraphId"/>
              </w:rPr>
              <w:t>[168]</w:t>
            </w:r>
            <w:r w:rsidRPr="001E1601">
              <w:t>PCR</w:t>
            </w:r>
            <w:r w:rsidR="00157819" w:rsidRPr="001E1601">
              <w:t>-</w:t>
            </w:r>
            <w:r w:rsidRPr="001E1601">
              <w:t>grade water</w:t>
            </w:r>
          </w:p>
        </w:tc>
        <w:tc>
          <w:tcPr>
            <w:tcW w:w="5528" w:type="dxa"/>
            <w:hideMark/>
          </w:tcPr>
          <w:p w14:paraId="491D032F" w14:textId="37BC15A6" w:rsidR="00171C04" w:rsidRPr="001E1601" w:rsidRDefault="006B4FB1" w:rsidP="00C30B5E">
            <w:pPr>
              <w:pStyle w:val="IPPArialTable"/>
            </w:pPr>
            <w:r w:rsidRPr="001E1601">
              <w:rPr>
                <w:rStyle w:val="PleaseReviewParagraphId"/>
              </w:rPr>
              <w:t>[169]</w:t>
            </w:r>
            <w:r w:rsidRPr="001E1601">
              <w:rPr>
                <w:position w:val="-5"/>
              </w:rPr>
              <w:t>–</w:t>
            </w:r>
            <w:r w:rsidRPr="00584267">
              <w:rPr>
                <w:vertAlign w:val="superscript"/>
              </w:rPr>
              <w:t>†</w:t>
            </w:r>
          </w:p>
        </w:tc>
      </w:tr>
      <w:tr w:rsidR="00171C04" w:rsidRPr="001E1601" w14:paraId="491D0333" w14:textId="77777777">
        <w:trPr>
          <w:trHeight w:hRule="exact" w:val="326"/>
        </w:trPr>
        <w:tc>
          <w:tcPr>
            <w:tcW w:w="3150" w:type="dxa"/>
            <w:hideMark/>
          </w:tcPr>
          <w:p w14:paraId="491D0331" w14:textId="77777777" w:rsidR="00171C04" w:rsidRPr="001E1601" w:rsidRDefault="006B4FB1" w:rsidP="00C30B5E">
            <w:pPr>
              <w:pStyle w:val="IPPArialTable"/>
            </w:pPr>
            <w:r w:rsidRPr="001E1601">
              <w:rPr>
                <w:rStyle w:val="PleaseReviewParagraphId"/>
              </w:rPr>
              <w:t>[170]</w:t>
            </w:r>
            <w:r w:rsidRPr="001E1601">
              <w:t>PCR buffer</w:t>
            </w:r>
          </w:p>
        </w:tc>
        <w:tc>
          <w:tcPr>
            <w:tcW w:w="5528" w:type="dxa"/>
            <w:hideMark/>
          </w:tcPr>
          <w:p w14:paraId="491D0332" w14:textId="77777777" w:rsidR="00171C04" w:rsidRPr="001E1601" w:rsidRDefault="006B4FB1" w:rsidP="00C30B5E">
            <w:pPr>
              <w:pStyle w:val="IPPArialTable"/>
            </w:pPr>
            <w:r w:rsidRPr="001E1601">
              <w:rPr>
                <w:rStyle w:val="PleaseReviewParagraphId"/>
              </w:rPr>
              <w:t>[171]</w:t>
            </w:r>
            <w:r w:rsidRPr="001E1601">
              <w:t>1×</w:t>
            </w:r>
          </w:p>
        </w:tc>
      </w:tr>
      <w:tr w:rsidR="00171C04" w:rsidRPr="001E1601" w14:paraId="491D0336" w14:textId="77777777">
        <w:trPr>
          <w:trHeight w:hRule="exact" w:val="326"/>
        </w:trPr>
        <w:tc>
          <w:tcPr>
            <w:tcW w:w="3150" w:type="dxa"/>
            <w:hideMark/>
          </w:tcPr>
          <w:p w14:paraId="491D0334" w14:textId="77777777" w:rsidR="00171C04" w:rsidRPr="001E1601" w:rsidRDefault="006B4FB1" w:rsidP="00C30B5E">
            <w:pPr>
              <w:pStyle w:val="IPPArialTable"/>
            </w:pPr>
            <w:r w:rsidRPr="001E1601">
              <w:rPr>
                <w:rStyle w:val="PleaseReviewParagraphId"/>
              </w:rPr>
              <w:t>[172]</w:t>
            </w:r>
            <w:r w:rsidRPr="001E1601">
              <w:rPr>
                <w:position w:val="1"/>
              </w:rPr>
              <w:t>MgCl</w:t>
            </w:r>
            <w:r w:rsidRPr="001E1601">
              <w:t>2</w:t>
            </w:r>
          </w:p>
        </w:tc>
        <w:tc>
          <w:tcPr>
            <w:tcW w:w="5528" w:type="dxa"/>
            <w:hideMark/>
          </w:tcPr>
          <w:p w14:paraId="491D0335" w14:textId="44A7738E" w:rsidR="00171C04" w:rsidRPr="001E1601" w:rsidRDefault="006B4FB1" w:rsidP="00C30B5E">
            <w:pPr>
              <w:pStyle w:val="IPPArialTable"/>
            </w:pPr>
            <w:r w:rsidRPr="001E1601">
              <w:rPr>
                <w:rStyle w:val="PleaseReviewParagraphId"/>
              </w:rPr>
              <w:t>[173]</w:t>
            </w:r>
            <w:r w:rsidRPr="001E1601">
              <w:t>2.5</w:t>
            </w:r>
            <w:r w:rsidR="00E87C79" w:rsidRPr="001E1601">
              <w:t> </w:t>
            </w:r>
            <w:r w:rsidRPr="001E1601">
              <w:t>mM</w:t>
            </w:r>
          </w:p>
        </w:tc>
      </w:tr>
      <w:tr w:rsidR="00171C04" w:rsidRPr="001E1601" w14:paraId="491D0339" w14:textId="77777777">
        <w:trPr>
          <w:trHeight w:hRule="exact" w:val="328"/>
        </w:trPr>
        <w:tc>
          <w:tcPr>
            <w:tcW w:w="3150" w:type="dxa"/>
            <w:hideMark/>
          </w:tcPr>
          <w:p w14:paraId="491D0337" w14:textId="77777777" w:rsidR="00171C04" w:rsidRPr="001E1601" w:rsidRDefault="006B4FB1" w:rsidP="00C30B5E">
            <w:pPr>
              <w:pStyle w:val="IPPArialTable"/>
            </w:pPr>
            <w:r w:rsidRPr="001E1601">
              <w:rPr>
                <w:rStyle w:val="PleaseReviewParagraphId"/>
              </w:rPr>
              <w:t>[174]</w:t>
            </w:r>
            <w:r w:rsidRPr="001E1601">
              <w:t>dNTPs</w:t>
            </w:r>
          </w:p>
        </w:tc>
        <w:tc>
          <w:tcPr>
            <w:tcW w:w="5528" w:type="dxa"/>
            <w:hideMark/>
          </w:tcPr>
          <w:p w14:paraId="491D0338" w14:textId="383E2B1E" w:rsidR="00171C04" w:rsidRPr="001E1601" w:rsidRDefault="006B4FB1" w:rsidP="00C30B5E">
            <w:pPr>
              <w:pStyle w:val="IPPArialTable"/>
            </w:pPr>
            <w:r w:rsidRPr="001E1601">
              <w:rPr>
                <w:rStyle w:val="PleaseReviewParagraphId"/>
              </w:rPr>
              <w:t>[175]</w:t>
            </w:r>
            <w:r w:rsidRPr="001E1601">
              <w:t>2.5</w:t>
            </w:r>
            <w:r w:rsidR="00E87C79" w:rsidRPr="001E1601">
              <w:t> </w:t>
            </w:r>
            <w:r w:rsidRPr="001E1601">
              <w:t>mM of each</w:t>
            </w:r>
          </w:p>
        </w:tc>
      </w:tr>
      <w:tr w:rsidR="00171C04" w:rsidRPr="001E1601" w14:paraId="491D033C" w14:textId="77777777">
        <w:trPr>
          <w:trHeight w:hRule="exact" w:val="328"/>
        </w:trPr>
        <w:tc>
          <w:tcPr>
            <w:tcW w:w="3150" w:type="dxa"/>
            <w:hideMark/>
          </w:tcPr>
          <w:p w14:paraId="491D033A" w14:textId="77777777" w:rsidR="00171C04" w:rsidRPr="001E1601" w:rsidRDefault="006B4FB1" w:rsidP="00C30B5E">
            <w:pPr>
              <w:pStyle w:val="IPPArialTable"/>
            </w:pPr>
            <w:r w:rsidRPr="001E1601">
              <w:rPr>
                <w:rStyle w:val="PleaseReviewParagraphId"/>
              </w:rPr>
              <w:t>[176]</w:t>
            </w:r>
            <w:r w:rsidRPr="001E1601">
              <w:t>Primer (forward)</w:t>
            </w:r>
          </w:p>
        </w:tc>
        <w:tc>
          <w:tcPr>
            <w:tcW w:w="5528" w:type="dxa"/>
            <w:hideMark/>
          </w:tcPr>
          <w:p w14:paraId="491D033B" w14:textId="0045D2F7" w:rsidR="00171C04" w:rsidRPr="001E1601" w:rsidRDefault="006B4FB1" w:rsidP="00C30B5E">
            <w:pPr>
              <w:pStyle w:val="IPPArialTable"/>
            </w:pPr>
            <w:r w:rsidRPr="001E1601">
              <w:rPr>
                <w:rStyle w:val="PleaseReviewParagraphId"/>
              </w:rPr>
              <w:t>[177]</w:t>
            </w:r>
            <w:r w:rsidRPr="001E1601">
              <w:t>5</w:t>
            </w:r>
            <w:r w:rsidR="00E87C79" w:rsidRPr="001E1601">
              <w:t> </w:t>
            </w:r>
            <w:r w:rsidRPr="001E1601">
              <w:t>µM</w:t>
            </w:r>
          </w:p>
        </w:tc>
      </w:tr>
      <w:tr w:rsidR="00171C04" w:rsidRPr="001E1601" w14:paraId="491D033F" w14:textId="77777777">
        <w:trPr>
          <w:trHeight w:hRule="exact" w:val="329"/>
        </w:trPr>
        <w:tc>
          <w:tcPr>
            <w:tcW w:w="3150" w:type="dxa"/>
            <w:tcBorders>
              <w:top w:val="nil"/>
              <w:left w:val="nil"/>
              <w:bottom w:val="single" w:sz="8" w:space="0" w:color="000000"/>
              <w:right w:val="nil"/>
            </w:tcBorders>
            <w:hideMark/>
          </w:tcPr>
          <w:p w14:paraId="491D033D" w14:textId="77777777" w:rsidR="00171C04" w:rsidRPr="001E1601" w:rsidRDefault="006B4FB1" w:rsidP="00C30B5E">
            <w:pPr>
              <w:pStyle w:val="IPPArialTable"/>
            </w:pPr>
            <w:r w:rsidRPr="001E1601">
              <w:rPr>
                <w:rStyle w:val="PleaseReviewParagraphId"/>
              </w:rPr>
              <w:t>[178]</w:t>
            </w:r>
            <w:r w:rsidRPr="001E1601">
              <w:t>Primer (reverse)</w:t>
            </w:r>
          </w:p>
        </w:tc>
        <w:tc>
          <w:tcPr>
            <w:tcW w:w="5528" w:type="dxa"/>
            <w:tcBorders>
              <w:top w:val="nil"/>
              <w:left w:val="nil"/>
              <w:bottom w:val="single" w:sz="8" w:space="0" w:color="000000"/>
              <w:right w:val="nil"/>
            </w:tcBorders>
            <w:hideMark/>
          </w:tcPr>
          <w:p w14:paraId="491D033E" w14:textId="065F55A4" w:rsidR="00171C04" w:rsidRPr="001E1601" w:rsidRDefault="006B4FB1" w:rsidP="00C30B5E">
            <w:pPr>
              <w:pStyle w:val="IPPArialTable"/>
            </w:pPr>
            <w:r w:rsidRPr="001E1601">
              <w:rPr>
                <w:rStyle w:val="PleaseReviewParagraphId"/>
              </w:rPr>
              <w:t>[179]</w:t>
            </w:r>
            <w:r w:rsidRPr="001E1601">
              <w:t>5</w:t>
            </w:r>
            <w:r w:rsidR="00E87C79" w:rsidRPr="001E1601">
              <w:t> </w:t>
            </w:r>
            <w:r w:rsidRPr="001E1601">
              <w:t>µM</w:t>
            </w:r>
          </w:p>
        </w:tc>
      </w:tr>
      <w:tr w:rsidR="00171C04" w:rsidRPr="001E1601" w14:paraId="491D0342" w14:textId="77777777">
        <w:trPr>
          <w:trHeight w:hRule="exact" w:val="339"/>
        </w:trPr>
        <w:tc>
          <w:tcPr>
            <w:tcW w:w="3150" w:type="dxa"/>
            <w:tcBorders>
              <w:top w:val="nil"/>
              <w:left w:val="nil"/>
              <w:bottom w:val="single" w:sz="8" w:space="0" w:color="000000"/>
              <w:right w:val="nil"/>
            </w:tcBorders>
            <w:hideMark/>
          </w:tcPr>
          <w:p w14:paraId="491D0340" w14:textId="77777777" w:rsidR="00171C04" w:rsidRPr="001E1601" w:rsidRDefault="006B4FB1" w:rsidP="00C30B5E">
            <w:pPr>
              <w:pStyle w:val="IPPArialTable"/>
            </w:pPr>
            <w:r w:rsidRPr="001E1601">
              <w:rPr>
                <w:rStyle w:val="PleaseReviewParagraphId"/>
              </w:rPr>
              <w:t>[180]</w:t>
            </w:r>
            <w:r w:rsidRPr="001E1601">
              <w:t>DNA polymerase</w:t>
            </w:r>
          </w:p>
        </w:tc>
        <w:tc>
          <w:tcPr>
            <w:tcW w:w="5528" w:type="dxa"/>
            <w:tcBorders>
              <w:top w:val="nil"/>
              <w:left w:val="nil"/>
              <w:bottom w:val="single" w:sz="8" w:space="0" w:color="000000"/>
              <w:right w:val="nil"/>
            </w:tcBorders>
            <w:hideMark/>
          </w:tcPr>
          <w:p w14:paraId="491D0341" w14:textId="5BF25CA8" w:rsidR="00171C04" w:rsidRPr="001E1601" w:rsidRDefault="006B4FB1" w:rsidP="00C30B5E">
            <w:pPr>
              <w:pStyle w:val="IPPArialTable"/>
            </w:pPr>
            <w:r w:rsidRPr="001E1601">
              <w:rPr>
                <w:rStyle w:val="PleaseReviewParagraphId"/>
              </w:rPr>
              <w:t>[181]</w:t>
            </w:r>
            <w:r w:rsidRPr="001E1601">
              <w:t>0.25</w:t>
            </w:r>
            <w:r w:rsidR="00E87C79" w:rsidRPr="001E1601">
              <w:t> </w:t>
            </w:r>
            <w:r w:rsidRPr="001E1601">
              <w:t>U</w:t>
            </w:r>
          </w:p>
        </w:tc>
      </w:tr>
      <w:tr w:rsidR="00171C04" w:rsidRPr="001E1601" w14:paraId="491D0345" w14:textId="77777777">
        <w:trPr>
          <w:trHeight w:hRule="exact" w:val="336"/>
        </w:trPr>
        <w:tc>
          <w:tcPr>
            <w:tcW w:w="3150" w:type="dxa"/>
            <w:tcBorders>
              <w:top w:val="nil"/>
              <w:left w:val="nil"/>
              <w:bottom w:val="single" w:sz="8" w:space="0" w:color="000000"/>
              <w:right w:val="nil"/>
            </w:tcBorders>
            <w:hideMark/>
          </w:tcPr>
          <w:p w14:paraId="491D0343" w14:textId="77777777" w:rsidR="00171C04" w:rsidRPr="001E1601" w:rsidRDefault="006B4FB1" w:rsidP="00C30B5E">
            <w:pPr>
              <w:pStyle w:val="IPPArialTable"/>
            </w:pPr>
            <w:r w:rsidRPr="001E1601">
              <w:rPr>
                <w:rStyle w:val="PleaseReviewParagraphId"/>
              </w:rPr>
              <w:t>[182]</w:t>
            </w:r>
            <w:r w:rsidRPr="001E1601">
              <w:t>DNA sample</w:t>
            </w:r>
          </w:p>
        </w:tc>
        <w:tc>
          <w:tcPr>
            <w:tcW w:w="5528" w:type="dxa"/>
            <w:tcBorders>
              <w:top w:val="nil"/>
              <w:left w:val="nil"/>
              <w:bottom w:val="single" w:sz="8" w:space="0" w:color="000000"/>
              <w:right w:val="nil"/>
            </w:tcBorders>
            <w:hideMark/>
          </w:tcPr>
          <w:p w14:paraId="491D0344" w14:textId="7994395A" w:rsidR="00171C04" w:rsidRPr="001E1601" w:rsidRDefault="006B4FB1" w:rsidP="00C30B5E">
            <w:pPr>
              <w:pStyle w:val="IPPArialTable"/>
            </w:pPr>
            <w:r w:rsidRPr="001E1601">
              <w:rPr>
                <w:rStyle w:val="PleaseReviewParagraphId"/>
              </w:rPr>
              <w:t>[183]</w:t>
            </w:r>
            <w:r w:rsidRPr="001E1601">
              <w:t>20</w:t>
            </w:r>
            <w:r w:rsidR="00E87C79" w:rsidRPr="001E1601">
              <w:t> </w:t>
            </w:r>
            <w:r w:rsidRPr="001E1601">
              <w:t>ng</w:t>
            </w:r>
          </w:p>
        </w:tc>
      </w:tr>
      <w:tr w:rsidR="00171C04" w:rsidRPr="001E1601" w14:paraId="491D0348" w14:textId="77777777">
        <w:trPr>
          <w:trHeight w:hRule="exact" w:val="336"/>
        </w:trPr>
        <w:tc>
          <w:tcPr>
            <w:tcW w:w="3150" w:type="dxa"/>
            <w:tcBorders>
              <w:top w:val="nil"/>
              <w:left w:val="nil"/>
              <w:bottom w:val="single" w:sz="8" w:space="0" w:color="000000"/>
              <w:right w:val="nil"/>
            </w:tcBorders>
            <w:shd w:val="clear" w:color="auto" w:fill="BEBEBE"/>
            <w:hideMark/>
          </w:tcPr>
          <w:p w14:paraId="491D0346" w14:textId="77777777" w:rsidR="00171C04" w:rsidRPr="001E1601" w:rsidRDefault="006B4FB1" w:rsidP="00C30B5E">
            <w:pPr>
              <w:pStyle w:val="IPPArialTable"/>
            </w:pPr>
            <w:r w:rsidRPr="001E1601">
              <w:rPr>
                <w:rStyle w:val="PleaseReviewParagraphId"/>
              </w:rPr>
              <w:t>[184]</w:t>
            </w:r>
            <w:r w:rsidRPr="001E1601">
              <w:rPr>
                <w:b/>
                <w:bCs/>
              </w:rPr>
              <w:t>Cycling parameters</w:t>
            </w:r>
          </w:p>
        </w:tc>
        <w:tc>
          <w:tcPr>
            <w:tcW w:w="5528" w:type="dxa"/>
            <w:tcBorders>
              <w:top w:val="nil"/>
              <w:left w:val="nil"/>
              <w:bottom w:val="single" w:sz="8" w:space="0" w:color="000000"/>
              <w:right w:val="nil"/>
            </w:tcBorders>
            <w:shd w:val="clear" w:color="auto" w:fill="BEBEBE"/>
          </w:tcPr>
          <w:p w14:paraId="491D0347" w14:textId="77777777" w:rsidR="00171C04" w:rsidRPr="001E1601" w:rsidRDefault="006B4FB1" w:rsidP="00C30B5E">
            <w:pPr>
              <w:pStyle w:val="IPPArialTable"/>
            </w:pPr>
            <w:r w:rsidRPr="001E1601">
              <w:rPr>
                <w:rStyle w:val="PleaseReviewParagraphId"/>
              </w:rPr>
              <w:t>[185]</w:t>
            </w:r>
          </w:p>
        </w:tc>
      </w:tr>
      <w:tr w:rsidR="00171C04" w:rsidRPr="001E1601" w14:paraId="491D034B" w14:textId="77777777">
        <w:trPr>
          <w:trHeight w:hRule="exact" w:val="335"/>
        </w:trPr>
        <w:tc>
          <w:tcPr>
            <w:tcW w:w="3150" w:type="dxa"/>
          </w:tcPr>
          <w:p w14:paraId="491D0349" w14:textId="77777777" w:rsidR="00171C04" w:rsidRPr="001E1601" w:rsidRDefault="006B4FB1" w:rsidP="00C30B5E">
            <w:pPr>
              <w:pStyle w:val="IPPArialTable"/>
            </w:pPr>
            <w:r w:rsidRPr="001E1601">
              <w:rPr>
                <w:rStyle w:val="PleaseReviewParagraphId"/>
              </w:rPr>
              <w:t>[186]</w:t>
            </w:r>
            <w:r w:rsidRPr="001E1601">
              <w:t>Number of cycles</w:t>
            </w:r>
          </w:p>
        </w:tc>
        <w:tc>
          <w:tcPr>
            <w:tcW w:w="5528" w:type="dxa"/>
          </w:tcPr>
          <w:p w14:paraId="491D034A" w14:textId="77777777" w:rsidR="00171C04" w:rsidRPr="001E1601" w:rsidRDefault="006B4FB1" w:rsidP="00C30B5E">
            <w:pPr>
              <w:pStyle w:val="IPPArialTable"/>
            </w:pPr>
            <w:r w:rsidRPr="001E1601">
              <w:rPr>
                <w:rStyle w:val="PleaseReviewParagraphId"/>
              </w:rPr>
              <w:t>[187]</w:t>
            </w:r>
            <w:r w:rsidRPr="001E1601">
              <w:t>5</w:t>
            </w:r>
          </w:p>
        </w:tc>
      </w:tr>
      <w:tr w:rsidR="00171C04" w:rsidRPr="001E1601" w14:paraId="491D034E" w14:textId="77777777">
        <w:trPr>
          <w:trHeight w:hRule="exact" w:val="335"/>
        </w:trPr>
        <w:tc>
          <w:tcPr>
            <w:tcW w:w="3150" w:type="dxa"/>
          </w:tcPr>
          <w:p w14:paraId="491D034C" w14:textId="77777777" w:rsidR="00171C04" w:rsidRPr="001E1601" w:rsidRDefault="006B4FB1" w:rsidP="00C30B5E">
            <w:pPr>
              <w:pStyle w:val="IPPArialTable"/>
            </w:pPr>
            <w:r w:rsidRPr="001E1601">
              <w:rPr>
                <w:rStyle w:val="PleaseReviewParagraphId"/>
              </w:rPr>
              <w:t>[188]</w:t>
            </w:r>
            <w:r w:rsidRPr="001E1601">
              <w:t>- Denaturation</w:t>
            </w:r>
          </w:p>
        </w:tc>
        <w:tc>
          <w:tcPr>
            <w:tcW w:w="5528" w:type="dxa"/>
          </w:tcPr>
          <w:p w14:paraId="491D034D" w14:textId="09A6E012" w:rsidR="00171C04" w:rsidRPr="001E1601" w:rsidRDefault="006B4FB1" w:rsidP="00C30B5E">
            <w:pPr>
              <w:pStyle w:val="IPPArialTable"/>
            </w:pPr>
            <w:r w:rsidRPr="001E1601">
              <w:rPr>
                <w:rStyle w:val="PleaseReviewParagraphId"/>
              </w:rPr>
              <w:t>[189]</w:t>
            </w:r>
            <w:r w:rsidRPr="001E1601">
              <w:t>94</w:t>
            </w:r>
            <w:r w:rsidR="00E87C79" w:rsidRPr="001E1601">
              <w:t> </w:t>
            </w:r>
            <w:r w:rsidRPr="001E1601">
              <w:t>°C for 40</w:t>
            </w:r>
            <w:r w:rsidR="00E87C79" w:rsidRPr="001E1601">
              <w:t> </w:t>
            </w:r>
            <w:r w:rsidRPr="001E1601">
              <w:t>s</w:t>
            </w:r>
          </w:p>
        </w:tc>
      </w:tr>
      <w:tr w:rsidR="00171C04" w:rsidRPr="001E1601" w14:paraId="491D0351" w14:textId="77777777">
        <w:trPr>
          <w:trHeight w:hRule="exact" w:val="335"/>
        </w:trPr>
        <w:tc>
          <w:tcPr>
            <w:tcW w:w="3150" w:type="dxa"/>
          </w:tcPr>
          <w:p w14:paraId="491D034F" w14:textId="77777777" w:rsidR="00171C04" w:rsidRPr="001E1601" w:rsidRDefault="006B4FB1" w:rsidP="00C30B5E">
            <w:pPr>
              <w:pStyle w:val="IPPArialTable"/>
            </w:pPr>
            <w:r w:rsidRPr="001E1601">
              <w:rPr>
                <w:rStyle w:val="PleaseReviewParagraphId"/>
              </w:rPr>
              <w:t>[190]</w:t>
            </w:r>
            <w:r w:rsidRPr="001E1601">
              <w:t>- Annealing</w:t>
            </w:r>
          </w:p>
        </w:tc>
        <w:tc>
          <w:tcPr>
            <w:tcW w:w="5528" w:type="dxa"/>
          </w:tcPr>
          <w:p w14:paraId="491D0350" w14:textId="7308268E" w:rsidR="00171C04" w:rsidRPr="001E1601" w:rsidRDefault="006B4FB1" w:rsidP="00C30B5E">
            <w:pPr>
              <w:pStyle w:val="IPPArialTable"/>
            </w:pPr>
            <w:r w:rsidRPr="001E1601">
              <w:rPr>
                <w:rStyle w:val="PleaseReviewParagraphId"/>
              </w:rPr>
              <w:t>[191]</w:t>
            </w:r>
            <w:r w:rsidRPr="001E1601">
              <w:t>45</w:t>
            </w:r>
            <w:r w:rsidR="00E87C79" w:rsidRPr="001E1601">
              <w:t> </w:t>
            </w:r>
            <w:r w:rsidRPr="001E1601">
              <w:t>°C for 40</w:t>
            </w:r>
            <w:r w:rsidR="00E87C79" w:rsidRPr="001E1601">
              <w:t> </w:t>
            </w:r>
            <w:r w:rsidRPr="001E1601">
              <w:t>s</w:t>
            </w:r>
          </w:p>
        </w:tc>
      </w:tr>
      <w:tr w:rsidR="00171C04" w:rsidRPr="001E1601" w14:paraId="491D0354" w14:textId="77777777">
        <w:trPr>
          <w:trHeight w:hRule="exact" w:val="326"/>
        </w:trPr>
        <w:tc>
          <w:tcPr>
            <w:tcW w:w="3150" w:type="dxa"/>
            <w:tcBorders>
              <w:top w:val="nil"/>
              <w:left w:val="nil"/>
              <w:bottom w:val="single" w:sz="8" w:space="0" w:color="000000"/>
              <w:right w:val="nil"/>
            </w:tcBorders>
            <w:hideMark/>
          </w:tcPr>
          <w:p w14:paraId="491D0352" w14:textId="77777777" w:rsidR="00171C04" w:rsidRPr="001E1601" w:rsidRDefault="006B4FB1" w:rsidP="00C30B5E">
            <w:pPr>
              <w:pStyle w:val="IPPArialTable"/>
            </w:pPr>
            <w:r w:rsidRPr="001E1601">
              <w:rPr>
                <w:rStyle w:val="PleaseReviewParagraphId"/>
              </w:rPr>
              <w:t>[192]</w:t>
            </w:r>
            <w:r w:rsidRPr="001E1601">
              <w:t>- Elongation</w:t>
            </w:r>
          </w:p>
        </w:tc>
        <w:tc>
          <w:tcPr>
            <w:tcW w:w="5528" w:type="dxa"/>
            <w:tcBorders>
              <w:top w:val="nil"/>
              <w:left w:val="nil"/>
              <w:bottom w:val="single" w:sz="8" w:space="0" w:color="000000"/>
              <w:right w:val="nil"/>
            </w:tcBorders>
            <w:hideMark/>
          </w:tcPr>
          <w:p w14:paraId="491D0353" w14:textId="6D7BB975" w:rsidR="00171C04" w:rsidRPr="001E1601" w:rsidRDefault="006B4FB1" w:rsidP="00C30B5E">
            <w:pPr>
              <w:pStyle w:val="IPPArialTable"/>
            </w:pPr>
            <w:r w:rsidRPr="001E1601">
              <w:rPr>
                <w:rStyle w:val="PleaseReviewParagraphId"/>
              </w:rPr>
              <w:t>[193]</w:t>
            </w:r>
            <w:r w:rsidRPr="001E1601">
              <w:t>72</w:t>
            </w:r>
            <w:r w:rsidR="00E87C79" w:rsidRPr="001E1601">
              <w:t> </w:t>
            </w:r>
            <w:r w:rsidRPr="001E1601">
              <w:t>°C for 60</w:t>
            </w:r>
            <w:r w:rsidR="00E87C79" w:rsidRPr="001E1601">
              <w:t> </w:t>
            </w:r>
            <w:r w:rsidRPr="001E1601">
              <w:t>s</w:t>
            </w:r>
          </w:p>
        </w:tc>
      </w:tr>
      <w:tr w:rsidR="00171C04" w:rsidRPr="001E1601" w14:paraId="491D0357" w14:textId="77777777">
        <w:trPr>
          <w:trHeight w:hRule="exact" w:val="328"/>
        </w:trPr>
        <w:tc>
          <w:tcPr>
            <w:tcW w:w="3150" w:type="dxa"/>
            <w:hideMark/>
          </w:tcPr>
          <w:p w14:paraId="491D0355" w14:textId="77777777" w:rsidR="00171C04" w:rsidRPr="001E1601" w:rsidRDefault="006B4FB1" w:rsidP="00C30B5E">
            <w:pPr>
              <w:pStyle w:val="IPPArialTable"/>
            </w:pPr>
            <w:r w:rsidRPr="001E1601">
              <w:rPr>
                <w:rStyle w:val="PleaseReviewParagraphId"/>
              </w:rPr>
              <w:t>[194]</w:t>
            </w:r>
            <w:r w:rsidRPr="001E1601">
              <w:t>Number of cycles</w:t>
            </w:r>
          </w:p>
        </w:tc>
        <w:tc>
          <w:tcPr>
            <w:tcW w:w="5528" w:type="dxa"/>
            <w:hideMark/>
          </w:tcPr>
          <w:p w14:paraId="491D0356" w14:textId="77777777" w:rsidR="00171C04" w:rsidRPr="001E1601" w:rsidRDefault="006B4FB1" w:rsidP="00C30B5E">
            <w:pPr>
              <w:pStyle w:val="IPPArialTable"/>
            </w:pPr>
            <w:r w:rsidRPr="001E1601">
              <w:rPr>
                <w:rStyle w:val="PleaseReviewParagraphId"/>
              </w:rPr>
              <w:t>[195]</w:t>
            </w:r>
            <w:r w:rsidRPr="001E1601">
              <w:t>35</w:t>
            </w:r>
          </w:p>
        </w:tc>
      </w:tr>
      <w:tr w:rsidR="00171C04" w:rsidRPr="001E1601" w14:paraId="491D035A" w14:textId="77777777">
        <w:trPr>
          <w:trHeight w:hRule="exact" w:val="367"/>
        </w:trPr>
        <w:tc>
          <w:tcPr>
            <w:tcW w:w="3150" w:type="dxa"/>
            <w:hideMark/>
          </w:tcPr>
          <w:p w14:paraId="491D0358" w14:textId="77777777" w:rsidR="00171C04" w:rsidRPr="001E1601" w:rsidRDefault="006B4FB1" w:rsidP="00C30B5E">
            <w:pPr>
              <w:pStyle w:val="IPPArialTable"/>
            </w:pPr>
            <w:r w:rsidRPr="001E1601">
              <w:rPr>
                <w:rStyle w:val="PleaseReviewParagraphId"/>
              </w:rPr>
              <w:t>[196]</w:t>
            </w:r>
            <w:r w:rsidRPr="001E1601">
              <w:t>- Denaturation</w:t>
            </w:r>
          </w:p>
        </w:tc>
        <w:tc>
          <w:tcPr>
            <w:tcW w:w="5528" w:type="dxa"/>
            <w:hideMark/>
          </w:tcPr>
          <w:p w14:paraId="491D0359" w14:textId="6D6A7451" w:rsidR="00171C04" w:rsidRPr="001E1601" w:rsidRDefault="006B4FB1" w:rsidP="00C30B5E">
            <w:pPr>
              <w:pStyle w:val="IPPArialTable"/>
            </w:pPr>
            <w:r w:rsidRPr="001E1601">
              <w:rPr>
                <w:rStyle w:val="PleaseReviewParagraphId"/>
              </w:rPr>
              <w:t>[197]</w:t>
            </w:r>
            <w:r w:rsidRPr="001E1601">
              <w:t>94</w:t>
            </w:r>
            <w:r w:rsidR="00E87C79" w:rsidRPr="001E1601">
              <w:t> </w:t>
            </w:r>
            <w:r w:rsidRPr="001E1601">
              <w:t>°C for 40</w:t>
            </w:r>
            <w:r w:rsidR="00E87C79" w:rsidRPr="001E1601">
              <w:t> </w:t>
            </w:r>
            <w:r w:rsidRPr="001E1601">
              <w:t>s</w:t>
            </w:r>
          </w:p>
        </w:tc>
      </w:tr>
      <w:tr w:rsidR="00171C04" w:rsidRPr="001E1601" w14:paraId="491D035D" w14:textId="77777777">
        <w:trPr>
          <w:trHeight w:hRule="exact" w:val="364"/>
        </w:trPr>
        <w:tc>
          <w:tcPr>
            <w:tcW w:w="3150" w:type="dxa"/>
            <w:hideMark/>
          </w:tcPr>
          <w:p w14:paraId="491D035B" w14:textId="77777777" w:rsidR="00171C04" w:rsidRPr="001E1601" w:rsidRDefault="006B4FB1" w:rsidP="00C30B5E">
            <w:pPr>
              <w:pStyle w:val="IPPArialTable"/>
            </w:pPr>
            <w:r w:rsidRPr="001E1601">
              <w:rPr>
                <w:rStyle w:val="PleaseReviewParagraphId"/>
              </w:rPr>
              <w:t>[198]</w:t>
            </w:r>
            <w:r w:rsidRPr="001E1601">
              <w:t>- Annealing</w:t>
            </w:r>
          </w:p>
        </w:tc>
        <w:tc>
          <w:tcPr>
            <w:tcW w:w="5528" w:type="dxa"/>
            <w:hideMark/>
          </w:tcPr>
          <w:p w14:paraId="491D035C" w14:textId="7A3DA5FE" w:rsidR="00171C04" w:rsidRPr="001E1601" w:rsidRDefault="006B4FB1" w:rsidP="00C30B5E">
            <w:pPr>
              <w:pStyle w:val="IPPArialTable"/>
            </w:pPr>
            <w:r w:rsidRPr="001E1601">
              <w:rPr>
                <w:rStyle w:val="PleaseReviewParagraphId"/>
              </w:rPr>
              <w:t>[199]</w:t>
            </w:r>
            <w:r w:rsidRPr="001E1601">
              <w:t>51</w:t>
            </w:r>
            <w:r w:rsidR="00E87C79" w:rsidRPr="001E1601">
              <w:t> </w:t>
            </w:r>
            <w:r w:rsidRPr="001E1601">
              <w:t>°C for 40</w:t>
            </w:r>
            <w:r w:rsidR="00E87C79" w:rsidRPr="001E1601">
              <w:t> </w:t>
            </w:r>
            <w:r w:rsidRPr="001E1601">
              <w:t>s</w:t>
            </w:r>
          </w:p>
        </w:tc>
      </w:tr>
      <w:tr w:rsidR="00171C04" w:rsidRPr="001E1601" w14:paraId="491D0360" w14:textId="77777777">
        <w:trPr>
          <w:trHeight w:hRule="exact" w:val="364"/>
        </w:trPr>
        <w:tc>
          <w:tcPr>
            <w:tcW w:w="3150" w:type="dxa"/>
            <w:hideMark/>
          </w:tcPr>
          <w:p w14:paraId="491D035E" w14:textId="77777777" w:rsidR="00171C04" w:rsidRPr="001E1601" w:rsidRDefault="006B4FB1" w:rsidP="00C30B5E">
            <w:pPr>
              <w:pStyle w:val="IPPArialTable"/>
            </w:pPr>
            <w:r w:rsidRPr="001E1601">
              <w:rPr>
                <w:rStyle w:val="PleaseReviewParagraphId"/>
              </w:rPr>
              <w:t>[200]</w:t>
            </w:r>
            <w:r w:rsidRPr="001E1601">
              <w:t>- Elongation</w:t>
            </w:r>
          </w:p>
        </w:tc>
        <w:tc>
          <w:tcPr>
            <w:tcW w:w="5528" w:type="dxa"/>
            <w:hideMark/>
          </w:tcPr>
          <w:p w14:paraId="491D035F" w14:textId="2A79E91A" w:rsidR="00171C04" w:rsidRPr="001E1601" w:rsidRDefault="006B4FB1" w:rsidP="00C30B5E">
            <w:pPr>
              <w:pStyle w:val="IPPArialTable"/>
            </w:pPr>
            <w:r w:rsidRPr="001E1601">
              <w:rPr>
                <w:rStyle w:val="PleaseReviewParagraphId"/>
              </w:rPr>
              <w:t>[201]</w:t>
            </w:r>
            <w:r w:rsidRPr="001E1601">
              <w:t>72</w:t>
            </w:r>
            <w:r w:rsidR="00E87C79" w:rsidRPr="001E1601">
              <w:t> </w:t>
            </w:r>
            <w:r w:rsidRPr="001E1601">
              <w:t>°C for 60</w:t>
            </w:r>
            <w:r w:rsidR="00E87C79" w:rsidRPr="001E1601">
              <w:t> </w:t>
            </w:r>
            <w:r w:rsidRPr="001E1601">
              <w:t>s</w:t>
            </w:r>
          </w:p>
        </w:tc>
      </w:tr>
      <w:tr w:rsidR="00171C04" w:rsidRPr="001E1601" w14:paraId="491D0363" w14:textId="77777777">
        <w:trPr>
          <w:trHeight w:hRule="exact" w:val="326"/>
        </w:trPr>
        <w:tc>
          <w:tcPr>
            <w:tcW w:w="3150" w:type="dxa"/>
            <w:tcBorders>
              <w:top w:val="nil"/>
              <w:left w:val="nil"/>
              <w:bottom w:val="single" w:sz="8" w:space="0" w:color="000000"/>
              <w:right w:val="nil"/>
            </w:tcBorders>
            <w:hideMark/>
          </w:tcPr>
          <w:p w14:paraId="491D0361" w14:textId="77777777" w:rsidR="00171C04" w:rsidRPr="001E1601" w:rsidRDefault="006B4FB1" w:rsidP="00C30B5E">
            <w:pPr>
              <w:pStyle w:val="IPPArialTable"/>
            </w:pPr>
            <w:r w:rsidRPr="001E1601">
              <w:rPr>
                <w:rStyle w:val="PleaseReviewParagraphId"/>
              </w:rPr>
              <w:t>[202]</w:t>
            </w:r>
            <w:r w:rsidRPr="001E1601">
              <w:t>Final elongation</w:t>
            </w:r>
          </w:p>
        </w:tc>
        <w:tc>
          <w:tcPr>
            <w:tcW w:w="5528" w:type="dxa"/>
            <w:tcBorders>
              <w:top w:val="nil"/>
              <w:left w:val="nil"/>
              <w:bottom w:val="single" w:sz="8" w:space="0" w:color="000000"/>
              <w:right w:val="nil"/>
            </w:tcBorders>
            <w:hideMark/>
          </w:tcPr>
          <w:p w14:paraId="491D0362" w14:textId="1BC8D2C6" w:rsidR="00171C04" w:rsidRPr="001E1601" w:rsidRDefault="006B4FB1" w:rsidP="00C30B5E">
            <w:pPr>
              <w:pStyle w:val="IPPArialTable"/>
            </w:pPr>
            <w:r w:rsidRPr="001E1601">
              <w:rPr>
                <w:rStyle w:val="PleaseReviewParagraphId"/>
              </w:rPr>
              <w:t>[203]</w:t>
            </w:r>
            <w:r w:rsidRPr="001E1601">
              <w:t>72</w:t>
            </w:r>
            <w:r w:rsidR="00E87C79" w:rsidRPr="001E1601">
              <w:t> </w:t>
            </w:r>
            <w:r w:rsidRPr="001E1601">
              <w:t>°C for 10</w:t>
            </w:r>
            <w:r w:rsidR="00E87C79" w:rsidRPr="001E1601">
              <w:t> </w:t>
            </w:r>
            <w:r w:rsidRPr="001E1601">
              <w:t>min</w:t>
            </w:r>
          </w:p>
        </w:tc>
      </w:tr>
      <w:tr w:rsidR="00171C04" w:rsidRPr="001E1601" w14:paraId="491D0366" w14:textId="77777777">
        <w:trPr>
          <w:trHeight w:hRule="exact" w:val="336"/>
        </w:trPr>
        <w:tc>
          <w:tcPr>
            <w:tcW w:w="3150" w:type="dxa"/>
            <w:tcBorders>
              <w:top w:val="nil"/>
              <w:left w:val="nil"/>
              <w:bottom w:val="single" w:sz="8" w:space="0" w:color="000000"/>
              <w:right w:val="nil"/>
            </w:tcBorders>
            <w:shd w:val="clear" w:color="auto" w:fill="BEBEBE"/>
            <w:hideMark/>
          </w:tcPr>
          <w:p w14:paraId="491D0364" w14:textId="77777777" w:rsidR="00171C04" w:rsidRPr="001E1601" w:rsidRDefault="006B4FB1" w:rsidP="00C30B5E">
            <w:pPr>
              <w:pStyle w:val="IPPArialTable"/>
            </w:pPr>
            <w:r w:rsidRPr="001E1601">
              <w:rPr>
                <w:rStyle w:val="PleaseReviewParagraphId"/>
              </w:rPr>
              <w:t>[204]</w:t>
            </w:r>
            <w:r w:rsidRPr="001E1601">
              <w:rPr>
                <w:b/>
                <w:bCs/>
              </w:rPr>
              <w:t>Expected amplicons</w:t>
            </w:r>
          </w:p>
        </w:tc>
        <w:tc>
          <w:tcPr>
            <w:tcW w:w="5528" w:type="dxa"/>
            <w:tcBorders>
              <w:top w:val="nil"/>
              <w:left w:val="nil"/>
              <w:bottom w:val="single" w:sz="8" w:space="0" w:color="000000"/>
              <w:right w:val="nil"/>
            </w:tcBorders>
            <w:shd w:val="clear" w:color="auto" w:fill="BEBEBE"/>
          </w:tcPr>
          <w:p w14:paraId="491D0365" w14:textId="77777777" w:rsidR="00171C04" w:rsidRPr="001E1601" w:rsidRDefault="006B4FB1" w:rsidP="00C30B5E">
            <w:pPr>
              <w:pStyle w:val="IPPArialTable"/>
            </w:pPr>
            <w:r w:rsidRPr="001E1601">
              <w:rPr>
                <w:rStyle w:val="PleaseReviewParagraphId"/>
              </w:rPr>
              <w:t>[205]</w:t>
            </w:r>
          </w:p>
        </w:tc>
      </w:tr>
      <w:tr w:rsidR="00171C04" w:rsidRPr="001E1601" w14:paraId="491D036A" w14:textId="77777777" w:rsidTr="00584267">
        <w:trPr>
          <w:trHeight w:hRule="exact" w:val="595"/>
        </w:trPr>
        <w:tc>
          <w:tcPr>
            <w:tcW w:w="3150" w:type="dxa"/>
            <w:tcBorders>
              <w:top w:val="nil"/>
              <w:left w:val="nil"/>
              <w:bottom w:val="single" w:sz="8" w:space="0" w:color="000000"/>
              <w:right w:val="nil"/>
            </w:tcBorders>
            <w:hideMark/>
          </w:tcPr>
          <w:p w14:paraId="491D0367" w14:textId="77777777" w:rsidR="00171C04" w:rsidRPr="001E1601" w:rsidRDefault="006B4FB1" w:rsidP="00C30B5E">
            <w:pPr>
              <w:pStyle w:val="IPPArialTable"/>
            </w:pPr>
            <w:r w:rsidRPr="001E1601">
              <w:rPr>
                <w:rStyle w:val="PleaseReviewParagraphId"/>
              </w:rPr>
              <w:t>[206]</w:t>
            </w:r>
            <w:r w:rsidRPr="001E1601">
              <w:t>Size</w:t>
            </w:r>
          </w:p>
        </w:tc>
        <w:tc>
          <w:tcPr>
            <w:tcW w:w="5528" w:type="dxa"/>
            <w:tcBorders>
              <w:top w:val="nil"/>
              <w:left w:val="nil"/>
              <w:bottom w:val="single" w:sz="8" w:space="0" w:color="000000"/>
              <w:right w:val="nil"/>
            </w:tcBorders>
            <w:hideMark/>
          </w:tcPr>
          <w:p w14:paraId="491D0368" w14:textId="024AC55C" w:rsidR="00171C04" w:rsidRPr="001E1601" w:rsidRDefault="006B4FB1" w:rsidP="00C30B5E">
            <w:pPr>
              <w:pStyle w:val="IPPArialTable"/>
            </w:pPr>
            <w:r w:rsidRPr="001E1601">
              <w:rPr>
                <w:rStyle w:val="PleaseReviewParagraphId"/>
              </w:rPr>
              <w:t>[207]</w:t>
            </w:r>
            <w:r w:rsidR="006251F2" w:rsidRPr="001E1601">
              <w:t>709</w:t>
            </w:r>
            <w:r w:rsidR="00E87C79" w:rsidRPr="001E1601">
              <w:t> </w:t>
            </w:r>
            <w:r w:rsidRPr="001E1601">
              <w:t>bp</w:t>
            </w:r>
          </w:p>
          <w:p w14:paraId="491D0369" w14:textId="77777777" w:rsidR="00171C04" w:rsidRPr="001E1601" w:rsidRDefault="006B4FB1" w:rsidP="00C30B5E">
            <w:pPr>
              <w:pStyle w:val="IPPArialTable"/>
            </w:pPr>
            <w:r w:rsidRPr="001E1601">
              <w:rPr>
                <w:rStyle w:val="PleaseReviewParagraphId"/>
              </w:rPr>
              <w:t>[208]</w:t>
            </w:r>
            <w:r w:rsidRPr="001E1601">
              <w:t>(the amplicon size varies for species and individuals)</w:t>
            </w:r>
          </w:p>
        </w:tc>
      </w:tr>
    </w:tbl>
    <w:p w14:paraId="491D036B" w14:textId="5AB5A0C0" w:rsidR="00171C04" w:rsidRPr="00584267" w:rsidRDefault="006B4FB1" w:rsidP="00C30B5E">
      <w:pPr>
        <w:pStyle w:val="IPPArialFootnote"/>
        <w:rPr>
          <w:i/>
          <w:iCs/>
        </w:rPr>
      </w:pPr>
      <w:r w:rsidRPr="001E1601">
        <w:rPr>
          <w:rStyle w:val="PleaseReviewParagraphId"/>
        </w:rPr>
        <w:t>[209]</w:t>
      </w:r>
      <w:r w:rsidR="00C30B5E" w:rsidRPr="001E1601">
        <w:rPr>
          <w:i/>
          <w:iCs/>
        </w:rPr>
        <w:t>Notes:</w:t>
      </w:r>
      <w:r w:rsidRPr="00584267">
        <w:rPr>
          <w:vertAlign w:val="superscript"/>
        </w:rPr>
        <w:t>†</w:t>
      </w:r>
      <w:r w:rsidRPr="001E1601">
        <w:t xml:space="preserve"> For a final reaction volume of </w:t>
      </w:r>
      <w:r w:rsidR="009970A5" w:rsidRPr="001E1601">
        <w:t>20</w:t>
      </w:r>
      <w:r w:rsidR="00E87C79" w:rsidRPr="001E1601">
        <w:t> </w:t>
      </w:r>
      <w:r w:rsidRPr="001E1601">
        <w:t>µ</w:t>
      </w:r>
      <w:r w:rsidR="00C30B5E" w:rsidRPr="001E1601">
        <w:t>L</w:t>
      </w:r>
      <w:r w:rsidRPr="001E1601">
        <w:t>.</w:t>
      </w:r>
    </w:p>
    <w:p w14:paraId="491D036C" w14:textId="77777777" w:rsidR="00171C04" w:rsidRPr="001E1601" w:rsidRDefault="006B4FB1" w:rsidP="00157819">
      <w:pPr>
        <w:pStyle w:val="IPPArialFootnote"/>
      </w:pPr>
      <w:r w:rsidRPr="001E1601">
        <w:rPr>
          <w:rStyle w:val="PleaseReviewParagraphId"/>
        </w:rPr>
        <w:t>[210]</w:t>
      </w:r>
      <w:r w:rsidRPr="001E1601">
        <w:t>bp, base pairs; PCR, polymerase chain reaction.</w:t>
      </w:r>
    </w:p>
    <w:p w14:paraId="2379C01C" w14:textId="5FEC7A03" w:rsidR="00AB5AF6" w:rsidRPr="001E1601" w:rsidRDefault="00AB5AF6" w:rsidP="00AB5AF6">
      <w:pPr>
        <w:pStyle w:val="IPPArialFootnote"/>
      </w:pPr>
      <w:r w:rsidRPr="001E1601">
        <w:rPr>
          <w:i/>
          <w:iCs/>
        </w:rPr>
        <w:t xml:space="preserve">Source: </w:t>
      </w:r>
      <w:r w:rsidRPr="001E1601">
        <w:t>Ovalle, T.M., Vásquez</w:t>
      </w:r>
      <w:r w:rsidRPr="001E1601">
        <w:noBreakHyphen/>
        <w:t>Ordóñez, A.A., Jimenez, J., Parsa, S., Cuellar, W.J. &amp; Lopez</w:t>
      </w:r>
      <w:r w:rsidRPr="001E1601">
        <w:noBreakHyphen/>
        <w:t>Lavalle, L.A.B. 2020. A simple PCR</w:t>
      </w:r>
      <w:r w:rsidRPr="001E1601">
        <w:noBreakHyphen/>
        <w:t xml:space="preserve">based method for the rapid and accurate identification of spider mites (Tetranychidae) on cassava. </w:t>
      </w:r>
      <w:r w:rsidRPr="001E1601">
        <w:rPr>
          <w:i/>
          <w:iCs/>
        </w:rPr>
        <w:t>Scientific Reports</w:t>
      </w:r>
      <w:r w:rsidRPr="001E1601">
        <w:t>, 10: 19496.</w:t>
      </w:r>
      <w:r w:rsidR="00157819" w:rsidRPr="001E1601">
        <w:t xml:space="preserve"> </w:t>
      </w:r>
      <w:hyperlink r:id="rId11" w:history="1">
        <w:r w:rsidR="00157819" w:rsidRPr="001E1601">
          <w:rPr>
            <w:rStyle w:val="Hyperlink"/>
          </w:rPr>
          <w:t>https://doi.org/10.1038/s41598-020-75743-w</w:t>
        </w:r>
      </w:hyperlink>
    </w:p>
    <w:p w14:paraId="491D036D" w14:textId="04E4BD43" w:rsidR="00171C04" w:rsidRPr="001E1601" w:rsidRDefault="006B4FB1">
      <w:pPr>
        <w:pStyle w:val="IPPHeading3"/>
      </w:pPr>
      <w:r w:rsidRPr="001E1601">
        <w:rPr>
          <w:rStyle w:val="PleaseReviewParagraphId"/>
          <w:b w:val="0"/>
          <w:i w:val="0"/>
        </w:rPr>
        <w:t>[211]</w:t>
      </w:r>
      <w:bookmarkStart w:id="72" w:name="_Hlk100586255"/>
      <w:r w:rsidRPr="001E1601">
        <w:t>4.6.2.3</w:t>
      </w:r>
      <w:r w:rsidRPr="001E1601">
        <w:tab/>
        <w:t>Controls for molecular tests</w:t>
      </w:r>
    </w:p>
    <w:p w14:paraId="491D036E" w14:textId="0B39C1A3" w:rsidR="00171C04" w:rsidRPr="001E1601" w:rsidRDefault="39225D59" w:rsidP="00C30B5E">
      <w:pPr>
        <w:pStyle w:val="IPPParagraphnumbering"/>
        <w:tabs>
          <w:tab w:val="clear" w:pos="0"/>
        </w:tabs>
        <w:ind w:firstLine="0"/>
        <w:rPr>
          <w:lang w:val="en-GB"/>
        </w:rPr>
      </w:pPr>
      <w:r w:rsidRPr="001E1601">
        <w:rPr>
          <w:rStyle w:val="PleaseReviewParagraphId"/>
          <w:lang w:val="en-GB"/>
        </w:rPr>
        <w:t>[212]</w:t>
      </w:r>
      <w:r w:rsidRPr="001E1601">
        <w:rPr>
          <w:lang w:val="en-GB"/>
        </w:rPr>
        <w:t xml:space="preserve">For the test result to be considered reliable, appropriate controls </w:t>
      </w:r>
      <w:r w:rsidR="00A025B2" w:rsidRPr="001E1601">
        <w:rPr>
          <w:lang w:val="en-GB"/>
        </w:rPr>
        <w:t xml:space="preserve">– </w:t>
      </w:r>
      <w:r w:rsidRPr="001E1601">
        <w:rPr>
          <w:lang w:val="en-GB"/>
        </w:rPr>
        <w:t>which will depend on the type of test used and the level of certainty</w:t>
      </w:r>
      <w:r w:rsidR="004909FA" w:rsidRPr="001E1601">
        <w:rPr>
          <w:lang w:val="en-GB"/>
        </w:rPr>
        <w:t xml:space="preserve"> </w:t>
      </w:r>
      <w:r w:rsidRPr="001E1601">
        <w:rPr>
          <w:lang w:val="en-GB"/>
        </w:rPr>
        <w:t xml:space="preserve">required </w:t>
      </w:r>
      <w:r w:rsidR="00A025B2" w:rsidRPr="001E1601">
        <w:rPr>
          <w:lang w:val="en-GB"/>
        </w:rPr>
        <w:t>–</w:t>
      </w:r>
      <w:r w:rsidRPr="001E1601">
        <w:rPr>
          <w:lang w:val="en-GB"/>
        </w:rPr>
        <w:t xml:space="preserve"> should be considered for each series of nucleic acid extractions and PCR amplifications of the target pest. As a minimum, a positive nucleic acid control and a negative amplification control (no template control) should be used.</w:t>
      </w:r>
    </w:p>
    <w:p w14:paraId="491D036F" w14:textId="41C64988" w:rsidR="00171C04" w:rsidRPr="001E1601" w:rsidRDefault="006B4FB1" w:rsidP="00C30B5E">
      <w:pPr>
        <w:pStyle w:val="IPPParagraphnumbering"/>
        <w:tabs>
          <w:tab w:val="clear" w:pos="0"/>
        </w:tabs>
        <w:ind w:firstLine="0"/>
        <w:rPr>
          <w:lang w:val="en-GB"/>
        </w:rPr>
      </w:pPr>
      <w:r w:rsidRPr="001E1601">
        <w:rPr>
          <w:rStyle w:val="PleaseReviewParagraphId"/>
          <w:lang w:val="en-GB"/>
        </w:rPr>
        <w:t>[213]</w:t>
      </w:r>
      <w:r w:rsidRPr="001E1601">
        <w:rPr>
          <w:b/>
          <w:bCs/>
          <w:lang w:val="en-GB"/>
        </w:rPr>
        <w:t>Positive nucleic acid control.</w:t>
      </w:r>
      <w:r w:rsidRPr="001E1601">
        <w:rPr>
          <w:lang w:val="en-GB"/>
        </w:rPr>
        <w:t xml:space="preserve"> This control is used to monitor the efficiency of the method </w:t>
      </w:r>
      <w:r w:rsidR="00A4226E" w:rsidRPr="001E1601">
        <w:rPr>
          <w:lang w:val="en-GB"/>
        </w:rPr>
        <w:t xml:space="preserve">used for the test </w:t>
      </w:r>
      <w:r w:rsidRPr="001E1601">
        <w:rPr>
          <w:lang w:val="en-GB"/>
        </w:rPr>
        <w:t xml:space="preserve">(apart from the extraction). </w:t>
      </w:r>
      <w:bookmarkStart w:id="73" w:name="_Hlk133879139"/>
      <w:r w:rsidRPr="001E1601">
        <w:rPr>
          <w:lang w:val="en-GB"/>
        </w:rPr>
        <w:t xml:space="preserve">Pre-prepared </w:t>
      </w:r>
      <w:bookmarkEnd w:id="73"/>
      <w:r w:rsidRPr="001E1601">
        <w:rPr>
          <w:lang w:val="en-GB"/>
        </w:rPr>
        <w:t>(stored) genomic DNA may be used.</w:t>
      </w:r>
    </w:p>
    <w:p w14:paraId="491D0370" w14:textId="77777777" w:rsidR="00171C04" w:rsidRPr="001E1601" w:rsidRDefault="006B4FB1" w:rsidP="00C30B5E">
      <w:pPr>
        <w:pStyle w:val="IPPParagraphnumbering"/>
        <w:tabs>
          <w:tab w:val="clear" w:pos="0"/>
        </w:tabs>
        <w:ind w:firstLine="0"/>
        <w:rPr>
          <w:lang w:val="en-GB"/>
        </w:rPr>
      </w:pPr>
      <w:r w:rsidRPr="001E1601">
        <w:rPr>
          <w:rStyle w:val="PleaseReviewParagraphId"/>
          <w:lang w:val="en-GB"/>
        </w:rPr>
        <w:t>[214]</w:t>
      </w:r>
      <w:r w:rsidRPr="001E1601">
        <w:rPr>
          <w:b/>
          <w:bCs/>
          <w:lang w:val="en-GB"/>
        </w:rPr>
        <w:t>Negative amplification control (no template control).</w:t>
      </w:r>
      <w:r w:rsidRPr="001E1601">
        <w:rPr>
          <w:lang w:val="en-GB"/>
        </w:rPr>
        <w:t xml:space="preserve"> This control is necessary to rule out false positives resulting from contamination with other genetic material during the preparation of the reaction mixture. PCR-grade water that was used to prepare the reaction mixture is added in place of template DNA.</w:t>
      </w:r>
    </w:p>
    <w:p w14:paraId="491D0371" w14:textId="77777777" w:rsidR="00171C04" w:rsidRPr="001E1601" w:rsidRDefault="006B4FB1" w:rsidP="00C30B5E">
      <w:pPr>
        <w:pStyle w:val="IPPParagraphnumbering"/>
        <w:tabs>
          <w:tab w:val="clear" w:pos="0"/>
        </w:tabs>
        <w:ind w:firstLine="0"/>
        <w:rPr>
          <w:lang w:val="en-GB"/>
        </w:rPr>
      </w:pPr>
      <w:r w:rsidRPr="001E1601">
        <w:rPr>
          <w:rStyle w:val="PleaseReviewParagraphId"/>
          <w:lang w:val="en-GB"/>
        </w:rPr>
        <w:t>[215]</w:t>
      </w:r>
      <w:r w:rsidRPr="001E1601">
        <w:rPr>
          <w:b/>
          <w:bCs/>
          <w:lang w:val="en-GB"/>
        </w:rPr>
        <w:t>Negative extraction control.</w:t>
      </w:r>
      <w:r w:rsidRPr="001E1601">
        <w:rPr>
          <w:lang w:val="en-GB"/>
        </w:rPr>
        <w:t xml:space="preserve"> This control is used to monitor contamination during nucleic acid extraction. This requires extraction blanks to be processed alongside the samples to be tested.</w:t>
      </w:r>
    </w:p>
    <w:p w14:paraId="491D0372" w14:textId="6EFFAC89" w:rsidR="00171C04" w:rsidRPr="001E1601" w:rsidRDefault="39225D59">
      <w:pPr>
        <w:pStyle w:val="IPPHeading3"/>
      </w:pPr>
      <w:r w:rsidRPr="001E1601">
        <w:rPr>
          <w:rStyle w:val="PleaseReviewParagraphId"/>
          <w:b w:val="0"/>
          <w:i w:val="0"/>
        </w:rPr>
        <w:lastRenderedPageBreak/>
        <w:t>[216]</w:t>
      </w:r>
      <w:bookmarkStart w:id="74" w:name="_Hlk89286710"/>
      <w:bookmarkEnd w:id="68"/>
      <w:bookmarkEnd w:id="72"/>
      <w:r w:rsidRPr="001E1601">
        <w:t>4.6.2.4</w:t>
      </w:r>
      <w:r w:rsidR="006B4FB1" w:rsidRPr="001E1601">
        <w:tab/>
      </w:r>
      <w:r w:rsidRPr="001E1601">
        <w:t>Sequence editing and analysis</w:t>
      </w:r>
    </w:p>
    <w:p w14:paraId="491D0373" w14:textId="71A37F85" w:rsidR="00171C04" w:rsidRPr="001E1601" w:rsidRDefault="006B4FB1" w:rsidP="00596373">
      <w:pPr>
        <w:pStyle w:val="IPPParagraphnumbering"/>
        <w:tabs>
          <w:tab w:val="clear" w:pos="0"/>
        </w:tabs>
        <w:ind w:firstLine="0"/>
        <w:rPr>
          <w:lang w:val="en-GB"/>
        </w:rPr>
      </w:pPr>
      <w:r w:rsidRPr="001E1601">
        <w:rPr>
          <w:rStyle w:val="PleaseReviewParagraphId"/>
          <w:lang w:val="en-GB"/>
        </w:rPr>
        <w:t>[217]</w:t>
      </w:r>
      <w:bookmarkStart w:id="75" w:name="_Hlk100643796"/>
      <w:bookmarkEnd w:id="74"/>
      <w:r w:rsidRPr="001E1601">
        <w:rPr>
          <w:lang w:val="en-GB"/>
        </w:rPr>
        <w:t>The sequences are edited using specific software (e.g. </w:t>
      </w:r>
      <w:bookmarkStart w:id="76" w:name="_Hlk133879186"/>
      <w:r w:rsidRPr="001E1601">
        <w:rPr>
          <w:lang w:val="en-GB"/>
        </w:rPr>
        <w:t xml:space="preserve">open-source </w:t>
      </w:r>
      <w:bookmarkEnd w:id="76"/>
      <w:r w:rsidRPr="001E1601">
        <w:rPr>
          <w:lang w:val="en-GB"/>
        </w:rPr>
        <w:t xml:space="preserve">Staden Package, BioEdit). The quality of the sequences should be checked. A consensus sequence should be obtained using the </w:t>
      </w:r>
      <w:bookmarkStart w:id="77" w:name="_Hlk133879227"/>
      <w:r w:rsidRPr="001E1601">
        <w:rPr>
          <w:lang w:val="en-GB"/>
        </w:rPr>
        <w:t>sequence</w:t>
      </w:r>
      <w:r w:rsidR="00157819" w:rsidRPr="001E1601">
        <w:rPr>
          <w:lang w:val="en-GB"/>
        </w:rPr>
        <w:t>-</w:t>
      </w:r>
      <w:r w:rsidR="000C44CB" w:rsidRPr="001E1601">
        <w:rPr>
          <w:lang w:val="en-GB"/>
        </w:rPr>
        <w:t xml:space="preserve">editing </w:t>
      </w:r>
      <w:bookmarkEnd w:id="77"/>
      <w:r w:rsidRPr="001E1601">
        <w:rPr>
          <w:lang w:val="en-GB"/>
        </w:rPr>
        <w:t xml:space="preserve">software by overlapping the </w:t>
      </w:r>
      <w:r w:rsidR="00C562D8" w:rsidRPr="001E1601">
        <w:rPr>
          <w:lang w:val="en-GB"/>
        </w:rPr>
        <w:t>DNA template</w:t>
      </w:r>
      <w:r w:rsidR="004F422F" w:rsidRPr="001E1601">
        <w:rPr>
          <w:lang w:val="en-GB"/>
        </w:rPr>
        <w:t>’</w:t>
      </w:r>
      <w:r w:rsidR="00C562D8" w:rsidRPr="001E1601">
        <w:rPr>
          <w:lang w:val="en-GB"/>
        </w:rPr>
        <w:t>s forward and reverse sequences</w:t>
      </w:r>
      <w:r w:rsidRPr="001E1601">
        <w:rPr>
          <w:lang w:val="en-GB"/>
        </w:rPr>
        <w:t>. The edited sequences are compared with those available in the public DNA database GenBank using the Basic Local Alignment Search Tool (BLAST), available at the National Center for Biotechnology Information (</w:t>
      </w:r>
      <w:hyperlink r:id="rId12" w:history="1">
        <w:r w:rsidRPr="001E1601">
          <w:rPr>
            <w:rStyle w:val="Hyperlink"/>
            <w:lang w:val="en-GB"/>
          </w:rPr>
          <w:t>www.ncbi.nlm.nih.gov</w:t>
        </w:r>
      </w:hyperlink>
      <w:r w:rsidRPr="001E1601">
        <w:rPr>
          <w:lang w:val="en-GB"/>
        </w:rPr>
        <w:t xml:space="preserve">). </w:t>
      </w:r>
      <w:r w:rsidR="00A747D8" w:rsidRPr="00584267">
        <w:rPr>
          <w:szCs w:val="22"/>
          <w:lang w:val="en-GB"/>
        </w:rPr>
        <w:t xml:space="preserve">Further guidance on sequence editing and analysis may be found in Appendices 7 and 8 of EPPO </w:t>
      </w:r>
      <w:r w:rsidR="00FD7278" w:rsidRPr="001E1601">
        <w:rPr>
          <w:szCs w:val="22"/>
          <w:lang w:val="en-GB"/>
        </w:rPr>
        <w:t>(</w:t>
      </w:r>
      <w:r w:rsidR="00A747D8" w:rsidRPr="00584267">
        <w:rPr>
          <w:szCs w:val="22"/>
          <w:lang w:val="en-GB"/>
        </w:rPr>
        <w:t xml:space="preserve">2021). </w:t>
      </w:r>
      <w:r w:rsidRPr="001E1601">
        <w:rPr>
          <w:lang w:val="en-GB"/>
        </w:rPr>
        <w:t xml:space="preserve">An identity with </w:t>
      </w:r>
      <w:r w:rsidRPr="001E1601">
        <w:rPr>
          <w:i/>
          <w:iCs/>
          <w:lang w:val="en-GB"/>
        </w:rPr>
        <w:t>M. tanajoa</w:t>
      </w:r>
      <w:r w:rsidRPr="001E1601">
        <w:rPr>
          <w:lang w:val="en-GB"/>
        </w:rPr>
        <w:t xml:space="preserve"> equal to or higher than 9</w:t>
      </w:r>
      <w:r w:rsidR="00264E1B" w:rsidRPr="001E1601">
        <w:rPr>
          <w:lang w:val="en-GB"/>
        </w:rPr>
        <w:t>9</w:t>
      </w:r>
      <w:r w:rsidRPr="001E1601">
        <w:rPr>
          <w:lang w:val="en-GB"/>
        </w:rPr>
        <w:t xml:space="preserve">% based on a query cover higher than 90% is required </w:t>
      </w:r>
      <w:r w:rsidR="0082656B">
        <w:rPr>
          <w:lang w:val="en-GB"/>
        </w:rPr>
        <w:t>support</w:t>
      </w:r>
      <w:r w:rsidRPr="001E1601">
        <w:rPr>
          <w:lang w:val="en-GB"/>
        </w:rPr>
        <w:t xml:space="preserve"> </w:t>
      </w:r>
      <w:bookmarkStart w:id="78" w:name="_Hlk133879544"/>
      <w:r w:rsidRPr="001E1601">
        <w:rPr>
          <w:lang w:val="en-GB"/>
        </w:rPr>
        <w:t xml:space="preserve">species-level </w:t>
      </w:r>
      <w:bookmarkEnd w:id="78"/>
      <w:r w:rsidRPr="001E1601">
        <w:rPr>
          <w:lang w:val="en-GB"/>
        </w:rPr>
        <w:t xml:space="preserve">identification (Smith, Fisher and Hebert, 2005; Porter and Hajibabaei, 2020). One sequence of a 597 bp of the </w:t>
      </w:r>
      <w:r w:rsidRPr="001E1601">
        <w:rPr>
          <w:i/>
          <w:iCs/>
          <w:lang w:val="en-GB"/>
        </w:rPr>
        <w:t>COI</w:t>
      </w:r>
      <w:r w:rsidRPr="001E1601">
        <w:rPr>
          <w:lang w:val="en-GB"/>
        </w:rPr>
        <w:t xml:space="preserve"> fragment is available in GenBank for an </w:t>
      </w:r>
      <w:r w:rsidRPr="001E1601">
        <w:rPr>
          <w:i/>
          <w:iCs/>
          <w:lang w:val="en-GB"/>
        </w:rPr>
        <w:t>M. tanajoa</w:t>
      </w:r>
      <w:r w:rsidRPr="001E1601">
        <w:rPr>
          <w:lang w:val="en-GB"/>
        </w:rPr>
        <w:t xml:space="preserve"> haplotype (accession number MN913384.1) </w:t>
      </w:r>
      <w:r w:rsidR="00C562D8" w:rsidRPr="001E1601">
        <w:rPr>
          <w:lang w:val="en-GB"/>
        </w:rPr>
        <w:t>and</w:t>
      </w:r>
      <w:r w:rsidRPr="001E1601">
        <w:rPr>
          <w:lang w:val="en-GB"/>
        </w:rPr>
        <w:t xml:space="preserve"> for the closely related species </w:t>
      </w:r>
      <w:r w:rsidRPr="001E1601">
        <w:rPr>
          <w:i/>
          <w:iCs/>
          <w:lang w:val="en-GB"/>
        </w:rPr>
        <w:t>M. mcgregori</w:t>
      </w:r>
      <w:r w:rsidRPr="001E1601">
        <w:rPr>
          <w:lang w:val="en-GB"/>
        </w:rPr>
        <w:t xml:space="preserve"> (MN913383) and </w:t>
      </w:r>
      <w:r w:rsidRPr="001E1601">
        <w:rPr>
          <w:i/>
          <w:iCs/>
          <w:lang w:val="en-GB"/>
        </w:rPr>
        <w:t xml:space="preserve">M. caribbeanae </w:t>
      </w:r>
      <w:r w:rsidRPr="001E1601">
        <w:rPr>
          <w:lang w:val="en-GB"/>
        </w:rPr>
        <w:t xml:space="preserve">(MN913382.1). </w:t>
      </w:r>
    </w:p>
    <w:p w14:paraId="491D0374" w14:textId="7F409F04" w:rsidR="00171C04" w:rsidRPr="001E1601" w:rsidRDefault="006B4FB1" w:rsidP="00596373">
      <w:pPr>
        <w:pStyle w:val="IPPParagraphnumbering"/>
        <w:tabs>
          <w:tab w:val="clear" w:pos="0"/>
        </w:tabs>
        <w:ind w:firstLine="0"/>
        <w:rPr>
          <w:lang w:val="en-GB"/>
        </w:rPr>
      </w:pPr>
      <w:r w:rsidRPr="001E1601">
        <w:rPr>
          <w:rStyle w:val="PleaseReviewParagraphId"/>
          <w:lang w:val="en-GB"/>
        </w:rPr>
        <w:t>[218]</w:t>
      </w:r>
      <w:r w:rsidRPr="001E1601">
        <w:rPr>
          <w:lang w:val="en-GB"/>
        </w:rPr>
        <w:t xml:space="preserve">Additional work on the diagnostics of mites in the family Tetranychidae (Navajas </w:t>
      </w:r>
      <w:r w:rsidRPr="001E1601">
        <w:rPr>
          <w:i/>
          <w:iCs/>
          <w:lang w:val="en-GB"/>
        </w:rPr>
        <w:t>et al.</w:t>
      </w:r>
      <w:r w:rsidRPr="001E1601">
        <w:rPr>
          <w:lang w:val="en-GB"/>
        </w:rPr>
        <w:t xml:space="preserve">, 1992, 1998, 2000; Ros and Breeuwer, 2007; de Mendonça, </w:t>
      </w:r>
      <w:r w:rsidRPr="001E1601">
        <w:rPr>
          <w:i/>
          <w:iCs/>
          <w:lang w:val="en-GB"/>
        </w:rPr>
        <w:t>et al.</w:t>
      </w:r>
      <w:r w:rsidR="005508F7" w:rsidRPr="001E1601">
        <w:rPr>
          <w:lang w:val="en-GB"/>
        </w:rPr>
        <w:t>,</w:t>
      </w:r>
      <w:r w:rsidRPr="001E1601">
        <w:rPr>
          <w:lang w:val="en-GB"/>
        </w:rPr>
        <w:t xml:space="preserve"> 2011; Matsuda </w:t>
      </w:r>
      <w:r w:rsidRPr="001E1601">
        <w:rPr>
          <w:i/>
          <w:iCs/>
          <w:lang w:val="en-GB"/>
        </w:rPr>
        <w:t>et al.</w:t>
      </w:r>
      <w:r w:rsidRPr="001E1601">
        <w:rPr>
          <w:lang w:val="en-GB"/>
        </w:rPr>
        <w:t xml:space="preserve">, 2013; Li </w:t>
      </w:r>
      <w:r w:rsidRPr="001E1601">
        <w:rPr>
          <w:i/>
          <w:iCs/>
          <w:lang w:val="en-GB"/>
        </w:rPr>
        <w:t>et al.</w:t>
      </w:r>
      <w:r w:rsidRPr="001E1601">
        <w:rPr>
          <w:lang w:val="en-GB"/>
        </w:rPr>
        <w:t xml:space="preserve">, 2015; Zélé, Weill and Magalhães, 2018) has not yet been adapted to the identification of </w:t>
      </w:r>
      <w:r w:rsidRPr="001E1601">
        <w:rPr>
          <w:i/>
          <w:iCs/>
          <w:lang w:val="en-GB"/>
        </w:rPr>
        <w:t>M. tanajoa</w:t>
      </w:r>
      <w:r w:rsidRPr="001E1601">
        <w:rPr>
          <w:lang w:val="en-GB"/>
        </w:rPr>
        <w:t xml:space="preserve"> and consequently not included in this protocol.</w:t>
      </w:r>
    </w:p>
    <w:p w14:paraId="491D0375" w14:textId="77777777" w:rsidR="00171C04" w:rsidRPr="001E1601" w:rsidRDefault="006B4FB1">
      <w:pPr>
        <w:pStyle w:val="IPPHeading1"/>
        <w:numPr>
          <w:ilvl w:val="0"/>
          <w:numId w:val="5"/>
        </w:numPr>
        <w:ind w:hanging="720"/>
      </w:pPr>
      <w:r w:rsidRPr="001E1601">
        <w:rPr>
          <w:rStyle w:val="PleaseReviewParagraphId"/>
          <w:b w:val="0"/>
        </w:rPr>
        <w:t>[219]</w:t>
      </w:r>
      <w:bookmarkStart w:id="79" w:name="_Hlk66712825"/>
      <w:bookmarkEnd w:id="75"/>
      <w:bookmarkEnd w:id="79"/>
      <w:r w:rsidRPr="001E1601">
        <w:t>Records</w:t>
      </w:r>
    </w:p>
    <w:p w14:paraId="491D0376"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[220]</w:t>
      </w:r>
      <w:r w:rsidRPr="001E1601">
        <w:rPr>
          <w:lang w:val="en-GB"/>
        </w:rPr>
        <w:t>Records and evidence should be retained as described in section 2.5 of ISPM 27 (</w:t>
      </w:r>
      <w:r w:rsidRPr="001E1601">
        <w:rPr>
          <w:i/>
          <w:iCs/>
          <w:lang w:val="en-GB"/>
        </w:rPr>
        <w:t>Diagnostic protocols for regulated pests</w:t>
      </w:r>
      <w:r w:rsidRPr="001E1601">
        <w:rPr>
          <w:lang w:val="en-GB"/>
        </w:rPr>
        <w:t>).</w:t>
      </w:r>
    </w:p>
    <w:p w14:paraId="491D0377" w14:textId="48A71C72" w:rsidR="00171C04" w:rsidRPr="001E1601" w:rsidRDefault="39225D59" w:rsidP="00596373">
      <w:pPr>
        <w:pStyle w:val="IPPParagraphnumbering"/>
        <w:tabs>
          <w:tab w:val="clear" w:pos="0"/>
        </w:tabs>
        <w:ind w:firstLine="0"/>
        <w:rPr>
          <w:lang w:val="en-GB"/>
        </w:rPr>
      </w:pPr>
      <w:r w:rsidRPr="001E1601">
        <w:rPr>
          <w:rStyle w:val="PleaseReviewParagraphId"/>
          <w:lang w:val="en-GB"/>
        </w:rPr>
        <w:t>[221]</w:t>
      </w:r>
      <w:r w:rsidRPr="001E1601">
        <w:rPr>
          <w:lang w:val="en-GB"/>
        </w:rPr>
        <w:t>In cases where other contracting parties may be adversely affected by the diagnosis, the records and evidence of the results of the diagnosis (in particular, preserved or slide-mounted specimens, photographs of distinctive taxonomic structures, DNA extracts and photographs of gels, as appropriate) should be kept for at least one year</w:t>
      </w:r>
      <w:r w:rsidR="005569FD" w:rsidRPr="001E1601">
        <w:rPr>
          <w:lang w:val="en-GB"/>
        </w:rPr>
        <w:t xml:space="preserve"> </w:t>
      </w:r>
      <w:r w:rsidR="005569FD" w:rsidRPr="001E1601">
        <w:rPr>
          <w:rFonts w:eastAsia="Times New Roman"/>
          <w:color w:val="000000"/>
          <w:szCs w:val="22"/>
          <w:lang w:val="en-GB"/>
        </w:rPr>
        <w:t>in a manner that ensures traceability</w:t>
      </w:r>
      <w:r w:rsidRPr="001E1601">
        <w:rPr>
          <w:lang w:val="en-GB"/>
        </w:rPr>
        <w:t>.</w:t>
      </w:r>
    </w:p>
    <w:p w14:paraId="491D0378" w14:textId="77777777" w:rsidR="00171C04" w:rsidRPr="001E1601" w:rsidRDefault="006B4FB1">
      <w:pPr>
        <w:pStyle w:val="IPPHeading1"/>
        <w:numPr>
          <w:ilvl w:val="0"/>
          <w:numId w:val="5"/>
        </w:numPr>
        <w:ind w:hanging="720"/>
      </w:pPr>
      <w:r w:rsidRPr="001E1601">
        <w:rPr>
          <w:rStyle w:val="PleaseReviewParagraphId"/>
          <w:b w:val="0"/>
        </w:rPr>
        <w:t>[222]</w:t>
      </w:r>
      <w:r w:rsidRPr="001E1601">
        <w:t>Contact points for further information</w:t>
      </w:r>
    </w:p>
    <w:p w14:paraId="10783170" w14:textId="323B746D" w:rsidR="00A202C7" w:rsidRPr="00584267" w:rsidRDefault="00A202C7" w:rsidP="00596373">
      <w:pPr>
        <w:pStyle w:val="IPPParagraphnumbering"/>
        <w:tabs>
          <w:tab w:val="clear" w:pos="0"/>
        </w:tabs>
        <w:ind w:firstLine="0"/>
        <w:rPr>
          <w:rStyle w:val="PleaseReviewParagraphId"/>
          <w:rFonts w:ascii="Times New Roman" w:hAnsi="Times New Roman"/>
          <w:color w:val="auto"/>
          <w:sz w:val="22"/>
          <w:lang w:val="en-GB"/>
        </w:rPr>
      </w:pPr>
      <w:r w:rsidRPr="001E1601">
        <w:rPr>
          <w:lang w:val="en-GB"/>
        </w:rPr>
        <w:t>Further information on this protocol can be obtained from:</w:t>
      </w:r>
    </w:p>
    <w:p w14:paraId="491D0379" w14:textId="285FF712" w:rsidR="00171C04" w:rsidRPr="001E1601" w:rsidRDefault="006B4FB1" w:rsidP="00596373">
      <w:pPr>
        <w:pStyle w:val="IPPParagraphnumbering"/>
        <w:tabs>
          <w:tab w:val="clear" w:pos="0"/>
        </w:tabs>
        <w:ind w:firstLine="0"/>
        <w:rPr>
          <w:lang w:val="en-GB"/>
        </w:rPr>
      </w:pPr>
      <w:r w:rsidRPr="001E1601">
        <w:rPr>
          <w:rStyle w:val="PleaseReviewParagraphId"/>
          <w:lang w:val="en-GB"/>
        </w:rPr>
        <w:t>[223]</w:t>
      </w:r>
      <w:r w:rsidRPr="001E1601">
        <w:rPr>
          <w:lang w:val="en-GB"/>
        </w:rPr>
        <w:t>Plant Health &amp; Environment Laboratory, Biosecurity New Zealand, Ministry for Primary Industries, P.O. Box 2095, Auckland 1072, New Zealand (</w:t>
      </w:r>
      <w:r w:rsidRPr="001E1601">
        <w:rPr>
          <w:bCs/>
          <w:lang w:val="en-GB"/>
        </w:rPr>
        <w:t xml:space="preserve">Qing-Hai Fan; </w:t>
      </w:r>
      <w:r w:rsidRPr="001E1601">
        <w:rPr>
          <w:lang w:val="en-GB"/>
        </w:rPr>
        <w:t xml:space="preserve">email: </w:t>
      </w:r>
      <w:hyperlink r:id="rId13">
        <w:r w:rsidRPr="001E1601">
          <w:rPr>
            <w:rStyle w:val="Hyperlink"/>
            <w:lang w:val="en-GB"/>
          </w:rPr>
          <w:t>qinghai.fan@mpi.govt.nz</w:t>
        </w:r>
      </w:hyperlink>
      <w:r w:rsidRPr="001E1601">
        <w:rPr>
          <w:lang w:val="en-GB"/>
        </w:rPr>
        <w:t>).</w:t>
      </w:r>
    </w:p>
    <w:p w14:paraId="491D037A" w14:textId="04963ACB" w:rsidR="00171C04" w:rsidRPr="001E1601" w:rsidRDefault="39225D59" w:rsidP="00596373">
      <w:pPr>
        <w:pStyle w:val="IPPParagraphnumbering"/>
        <w:tabs>
          <w:tab w:val="clear" w:pos="0"/>
        </w:tabs>
        <w:ind w:firstLine="0"/>
        <w:rPr>
          <w:lang w:val="en-GB"/>
        </w:rPr>
      </w:pPr>
      <w:r w:rsidRPr="001E1601">
        <w:rPr>
          <w:rStyle w:val="PleaseReviewParagraphId"/>
          <w:lang w:val="en-GB"/>
        </w:rPr>
        <w:t>[224]</w:t>
      </w:r>
      <w:r w:rsidRPr="001E1601">
        <w:rPr>
          <w:lang w:val="en-GB"/>
        </w:rPr>
        <w:t xml:space="preserve">Institut National de Recherche pour l’Agriculture, l’Alimentation et l’Environnement (INRAE), Centre de Biologie pour la Gestion des Populations (UMR CBGP), CS 30016, 34988 Montferrier-sur-Lez cedex, France (Denise Navia; email: </w:t>
      </w:r>
      <w:hyperlink r:id="rId14">
        <w:r w:rsidRPr="001E1601">
          <w:rPr>
            <w:rStyle w:val="Hyperlink"/>
            <w:lang w:val="en-GB"/>
          </w:rPr>
          <w:t>denise.navia@inrae.fr</w:t>
        </w:r>
      </w:hyperlink>
      <w:r w:rsidRPr="001E1601">
        <w:rPr>
          <w:lang w:val="en-GB"/>
        </w:rPr>
        <w:t>).</w:t>
      </w:r>
      <w:bookmarkStart w:id="80" w:name="_Hlk72339192"/>
      <w:bookmarkEnd w:id="80"/>
    </w:p>
    <w:p w14:paraId="491D037B" w14:textId="30CF45E6" w:rsidR="00171C04" w:rsidRPr="001E1601" w:rsidRDefault="39225D59" w:rsidP="00596373">
      <w:pPr>
        <w:pStyle w:val="IPPParagraphnumbering"/>
        <w:tabs>
          <w:tab w:val="clear" w:pos="0"/>
        </w:tabs>
        <w:ind w:firstLine="0"/>
        <w:rPr>
          <w:rStyle w:val="Hyperlink"/>
          <w:color w:val="auto"/>
          <w:lang w:val="en-GB"/>
        </w:rPr>
      </w:pPr>
      <w:r w:rsidRPr="001E1601">
        <w:rPr>
          <w:rStyle w:val="PleaseReviewParagraphId"/>
          <w:lang w:val="en-GB"/>
        </w:rPr>
        <w:t>[225]</w:t>
      </w:r>
      <w:r w:rsidRPr="001E1601">
        <w:rPr>
          <w:lang w:val="en-GB"/>
        </w:rPr>
        <w:t>Center for Tropical Research, Institute of the Environment and Sustainability, University of California, Los Angeles, 90095, CA, U</w:t>
      </w:r>
      <w:r w:rsidR="00D55FBA" w:rsidRPr="001E1601">
        <w:rPr>
          <w:lang w:val="en-GB"/>
        </w:rPr>
        <w:t xml:space="preserve">nited </w:t>
      </w:r>
      <w:r w:rsidRPr="001E1601">
        <w:rPr>
          <w:lang w:val="en-GB"/>
        </w:rPr>
        <w:t>S</w:t>
      </w:r>
      <w:r w:rsidR="00D55FBA" w:rsidRPr="001E1601">
        <w:rPr>
          <w:lang w:val="en-GB"/>
        </w:rPr>
        <w:t xml:space="preserve">tates of </w:t>
      </w:r>
      <w:r w:rsidRPr="001E1601">
        <w:rPr>
          <w:lang w:val="en-GB"/>
        </w:rPr>
        <w:t>A</w:t>
      </w:r>
      <w:r w:rsidR="00D55FBA" w:rsidRPr="001E1601">
        <w:rPr>
          <w:lang w:val="en-GB"/>
        </w:rPr>
        <w:t>merica</w:t>
      </w:r>
      <w:r w:rsidR="00B132C1" w:rsidRPr="001E1601">
        <w:rPr>
          <w:lang w:val="en-GB"/>
        </w:rPr>
        <w:t xml:space="preserve"> (Rachid </w:t>
      </w:r>
      <w:r w:rsidR="00D55FBA" w:rsidRPr="001E1601">
        <w:rPr>
          <w:lang w:val="en-GB"/>
        </w:rPr>
        <w:t>Hanna</w:t>
      </w:r>
      <w:r w:rsidR="00B132C1" w:rsidRPr="001E1601">
        <w:rPr>
          <w:lang w:val="en-GB"/>
        </w:rPr>
        <w:t xml:space="preserve">; </w:t>
      </w:r>
      <w:r w:rsidRPr="001E1601">
        <w:rPr>
          <w:lang w:val="en-GB"/>
        </w:rPr>
        <w:t>email:</w:t>
      </w:r>
      <w:hyperlink r:id="rId15" w:history="1"/>
      <w:r w:rsidRPr="001E1601">
        <w:rPr>
          <w:lang w:val="en-GB"/>
        </w:rPr>
        <w:t xml:space="preserve"> </w:t>
      </w:r>
      <w:hyperlink r:id="rId16" w:history="1">
        <w:r w:rsidRPr="001E1601">
          <w:rPr>
            <w:rStyle w:val="Hyperlink"/>
            <w:lang w:val="en-GB"/>
          </w:rPr>
          <w:t>rahanna@ucla.edu</w:t>
        </w:r>
      </w:hyperlink>
      <w:r w:rsidRPr="001E1601">
        <w:rPr>
          <w:lang w:val="en-GB"/>
        </w:rPr>
        <w:t xml:space="preserve"> or </w:t>
      </w:r>
      <w:hyperlink r:id="rId17" w:history="1">
        <w:r w:rsidRPr="001E1601">
          <w:rPr>
            <w:rStyle w:val="Hyperlink"/>
            <w:lang w:val="en-GB"/>
          </w:rPr>
          <w:t>rachidhanna01@gmail.com</w:t>
        </w:r>
      </w:hyperlink>
      <w:r w:rsidR="00D55FBA" w:rsidRPr="001E1601">
        <w:rPr>
          <w:lang w:val="en-GB"/>
        </w:rPr>
        <w:t>).</w:t>
      </w:r>
    </w:p>
    <w:p w14:paraId="155E5B80" w14:textId="09FF1BB5" w:rsidR="00DC39C3" w:rsidRPr="001E1601" w:rsidRDefault="007B4295" w:rsidP="00596373">
      <w:pPr>
        <w:pStyle w:val="IPPParagraphnumbering"/>
        <w:tabs>
          <w:tab w:val="clear" w:pos="0"/>
        </w:tabs>
        <w:ind w:firstLine="0"/>
        <w:rPr>
          <w:lang w:val="en-GB"/>
        </w:rPr>
      </w:pPr>
      <w:r w:rsidRPr="001E1601">
        <w:rPr>
          <w:lang w:val="en-GB"/>
        </w:rPr>
        <w:t>A request for a revision to a diagnostic protocol may be submitted by national plant protection organizations (NPPOs), regional plant protection organizations (RPPOs) or Commission on Phytosanitary Measures (CPM) subsidiary bodies through the IPPC Secretariat (</w:t>
      </w:r>
      <w:hyperlink r:id="rId18" w:history="1">
        <w:r w:rsidRPr="001E1601">
          <w:rPr>
            <w:rStyle w:val="Hyperlink"/>
            <w:lang w:val="en-GB"/>
          </w:rPr>
          <w:t>ippc@fao.org</w:t>
        </w:r>
      </w:hyperlink>
      <w:r w:rsidRPr="001E1601">
        <w:rPr>
          <w:lang w:val="en-GB"/>
        </w:rPr>
        <w:t>), who will forward it to the Technical Panel on Diagnostic Protocols (TPDP).</w:t>
      </w:r>
    </w:p>
    <w:p w14:paraId="491D037C" w14:textId="1AB95D87" w:rsidR="00171C04" w:rsidRPr="001E1601" w:rsidRDefault="006B4FB1">
      <w:pPr>
        <w:pStyle w:val="IPPHeading1"/>
        <w:numPr>
          <w:ilvl w:val="0"/>
          <w:numId w:val="5"/>
        </w:numPr>
        <w:ind w:hanging="720"/>
      </w:pPr>
      <w:r w:rsidRPr="001E1601">
        <w:rPr>
          <w:rStyle w:val="PleaseReviewParagraphId"/>
          <w:b w:val="0"/>
        </w:rPr>
        <w:t>[226]</w:t>
      </w:r>
      <w:r w:rsidRPr="001E1601">
        <w:t>Acknowledgements</w:t>
      </w:r>
    </w:p>
    <w:p w14:paraId="491D037D" w14:textId="11817C49" w:rsidR="00171C04" w:rsidRPr="001E1601" w:rsidRDefault="39225D59" w:rsidP="00596373">
      <w:pPr>
        <w:pStyle w:val="IPPParagraphnumbering"/>
        <w:tabs>
          <w:tab w:val="clear" w:pos="0"/>
        </w:tabs>
        <w:ind w:firstLine="0"/>
        <w:rPr>
          <w:lang w:val="en-GB"/>
        </w:rPr>
      </w:pPr>
      <w:r w:rsidRPr="001E1601">
        <w:rPr>
          <w:rStyle w:val="PleaseReviewParagraphId"/>
          <w:lang w:val="en-GB"/>
        </w:rPr>
        <w:t>[227]</w:t>
      </w:r>
      <w:r w:rsidRPr="001E1601">
        <w:rPr>
          <w:lang w:val="en-GB"/>
        </w:rPr>
        <w:t xml:space="preserve">The first draft of this protocol was </w:t>
      </w:r>
      <w:r w:rsidR="001E271D" w:rsidRPr="001E1601">
        <w:rPr>
          <w:lang w:val="en-GB"/>
        </w:rPr>
        <w:t>written</w:t>
      </w:r>
      <w:r w:rsidRPr="001E1601">
        <w:rPr>
          <w:lang w:val="en-GB"/>
        </w:rPr>
        <w:t xml:space="preserve"> by Qing-Hai Fan (Plant Health &amp; Environment Laboratory,</w:t>
      </w:r>
      <w:r w:rsidR="007B4295" w:rsidRPr="001E1601">
        <w:rPr>
          <w:lang w:val="en-GB"/>
        </w:rPr>
        <w:t xml:space="preserve"> </w:t>
      </w:r>
      <w:r w:rsidRPr="001E1601">
        <w:rPr>
          <w:lang w:val="en-GB"/>
        </w:rPr>
        <w:t>New Zealand</w:t>
      </w:r>
      <w:r w:rsidR="0079207C" w:rsidRPr="001E1601">
        <w:rPr>
          <w:lang w:val="en-GB"/>
        </w:rPr>
        <w:t xml:space="preserve"> (see preceding section)</w:t>
      </w:r>
      <w:r w:rsidRPr="001E1601">
        <w:rPr>
          <w:lang w:val="en-GB"/>
        </w:rPr>
        <w:t>), Denise Navia (Institut National de Recherche pour l’Agriculture, l’Alimentation et l’Environnement, France</w:t>
      </w:r>
      <w:r w:rsidR="0079207C" w:rsidRPr="001E1601">
        <w:rPr>
          <w:lang w:val="en-GB"/>
        </w:rPr>
        <w:t xml:space="preserve"> (see preceding section)</w:t>
      </w:r>
      <w:r w:rsidR="00A776E9" w:rsidRPr="001E1601">
        <w:rPr>
          <w:lang w:val="en-GB"/>
        </w:rPr>
        <w:t xml:space="preserve">) </w:t>
      </w:r>
      <w:r w:rsidRPr="001E1601">
        <w:rPr>
          <w:lang w:val="en-GB"/>
        </w:rPr>
        <w:t>and Rachid Hanna (</w:t>
      </w:r>
      <w:r w:rsidR="00333694" w:rsidRPr="001E1601">
        <w:rPr>
          <w:lang w:val="en-GB"/>
        </w:rPr>
        <w:t>Centre</w:t>
      </w:r>
      <w:r w:rsidRPr="001E1601">
        <w:rPr>
          <w:lang w:val="en-GB"/>
        </w:rPr>
        <w:t xml:space="preserve"> for Tropical Research, U</w:t>
      </w:r>
      <w:r w:rsidR="0079207C" w:rsidRPr="001E1601">
        <w:rPr>
          <w:lang w:val="en-GB"/>
        </w:rPr>
        <w:t xml:space="preserve">nited </w:t>
      </w:r>
      <w:r w:rsidRPr="001E1601">
        <w:rPr>
          <w:lang w:val="en-GB"/>
        </w:rPr>
        <w:t>S</w:t>
      </w:r>
      <w:r w:rsidR="0079207C" w:rsidRPr="001E1601">
        <w:rPr>
          <w:lang w:val="en-GB"/>
        </w:rPr>
        <w:t xml:space="preserve">tates of </w:t>
      </w:r>
      <w:r w:rsidRPr="001E1601">
        <w:rPr>
          <w:lang w:val="en-GB"/>
        </w:rPr>
        <w:t>A</w:t>
      </w:r>
      <w:r w:rsidR="0079207C" w:rsidRPr="001E1601">
        <w:rPr>
          <w:lang w:val="en-GB"/>
        </w:rPr>
        <w:t>merica (see preceding section)</w:t>
      </w:r>
      <w:r w:rsidRPr="001E1601">
        <w:rPr>
          <w:lang w:val="en-GB"/>
        </w:rPr>
        <w:t>).</w:t>
      </w:r>
    </w:p>
    <w:p w14:paraId="491D037E" w14:textId="508D972B" w:rsidR="00171C04" w:rsidRPr="001E1601" w:rsidRDefault="39225D59" w:rsidP="00596373">
      <w:pPr>
        <w:pStyle w:val="IPPParagraphnumbering"/>
        <w:tabs>
          <w:tab w:val="clear" w:pos="0"/>
        </w:tabs>
        <w:ind w:firstLine="0"/>
        <w:rPr>
          <w:lang w:val="en-GB"/>
        </w:rPr>
      </w:pPr>
      <w:r w:rsidRPr="001E1601">
        <w:rPr>
          <w:rStyle w:val="PleaseReviewParagraphId"/>
          <w:lang w:val="en-GB"/>
        </w:rPr>
        <w:t>[228]</w:t>
      </w:r>
      <w:r w:rsidRPr="001E1601">
        <w:rPr>
          <w:lang w:val="en-GB"/>
        </w:rPr>
        <w:t xml:space="preserve">In addition, the following experts were significantly involved in the development of this protocol: Frederic Beaulieu (Agriculture &amp; Agri-Food Canada), Jurgen Otto (Department of Agriculture, </w:t>
      </w:r>
      <w:r w:rsidRPr="001E1601">
        <w:rPr>
          <w:lang w:val="en-GB"/>
        </w:rPr>
        <w:lastRenderedPageBreak/>
        <w:t xml:space="preserve">Fisheries and Forestry, Australia), Hasan Rahmani </w:t>
      </w:r>
      <w:r w:rsidR="0028363F" w:rsidRPr="001E1601">
        <w:rPr>
          <w:lang w:val="en-GB"/>
        </w:rPr>
        <w:t>(</w:t>
      </w:r>
      <w:r w:rsidRPr="001E1601">
        <w:rPr>
          <w:lang w:val="en-GB"/>
        </w:rPr>
        <w:t xml:space="preserve">AgriBio, the Centre for AgriBioscience, Australia) and Karen Mclachlan-Hamilton (entomology–diagnostic biologist, Canada). </w:t>
      </w:r>
    </w:p>
    <w:p w14:paraId="491D037F" w14:textId="77777777" w:rsidR="00171C04" w:rsidRPr="001E1601" w:rsidRDefault="006B4FB1" w:rsidP="00596373">
      <w:pPr>
        <w:pStyle w:val="IPPParagraphnumbering"/>
        <w:tabs>
          <w:tab w:val="clear" w:pos="0"/>
        </w:tabs>
        <w:ind w:firstLine="0"/>
        <w:rPr>
          <w:bCs/>
          <w:lang w:val="en-GB"/>
        </w:rPr>
      </w:pPr>
      <w:r w:rsidRPr="001E1601">
        <w:rPr>
          <w:rStyle w:val="PleaseReviewParagraphId"/>
          <w:lang w:val="en-GB"/>
        </w:rPr>
        <w:t>[229]</w:t>
      </w:r>
      <w:r w:rsidRPr="001E1601">
        <w:rPr>
          <w:bCs/>
          <w:lang w:val="en-GB"/>
        </w:rPr>
        <w:t>The following experts provided some references and specimens: Carlos Holger Wenzel Flechtmann, Gilberto José de Moraes and Raphael de Campos Castilho (Departamento de Entolomogia e Acarologia, Universidade de São Paulo, Brazil</w:t>
      </w:r>
      <w:bookmarkStart w:id="81" w:name="_Hlk64124036"/>
      <w:r w:rsidRPr="001E1601">
        <w:rPr>
          <w:bCs/>
          <w:lang w:val="en-GB"/>
        </w:rPr>
        <w:t xml:space="preserve">), and Renata Santos de Mendonça (Universidade de Brasília, Federal District, Brazil). Mite </w:t>
      </w:r>
      <w:bookmarkEnd w:id="81"/>
      <w:r w:rsidRPr="001E1601">
        <w:rPr>
          <w:bCs/>
          <w:lang w:val="en-GB"/>
        </w:rPr>
        <w:t xml:space="preserve">reference collections used for this protocol include those of the Department of Entomology and Acarology, </w:t>
      </w:r>
      <w:r w:rsidRPr="001E1601">
        <w:rPr>
          <w:lang w:val="en-GB"/>
        </w:rPr>
        <w:t xml:space="preserve">Escola Superior de Agricultura Luiz de Queiroz/Universidade de </w:t>
      </w:r>
      <w:r w:rsidRPr="001E1601">
        <w:rPr>
          <w:bCs/>
          <w:lang w:val="en-GB"/>
        </w:rPr>
        <w:t>São Paulo</w:t>
      </w:r>
      <w:r w:rsidRPr="001E1601">
        <w:rPr>
          <w:lang w:val="en-GB"/>
        </w:rPr>
        <w:t xml:space="preserve"> (</w:t>
      </w:r>
      <w:r w:rsidRPr="001E1601">
        <w:rPr>
          <w:bCs/>
          <w:lang w:val="en-GB"/>
        </w:rPr>
        <w:t>ESALQ/USP), Piracicaba, São Paulo, Brazil and Embrapa Recursos Genéticos e Biotecnologia, Brasilia, Federal District, Brazil.</w:t>
      </w:r>
    </w:p>
    <w:p w14:paraId="491D0380" w14:textId="77777777" w:rsidR="00171C04" w:rsidRPr="001E1601" w:rsidRDefault="006B4FB1">
      <w:pPr>
        <w:pStyle w:val="IPPHeading1"/>
        <w:numPr>
          <w:ilvl w:val="0"/>
          <w:numId w:val="5"/>
        </w:numPr>
        <w:ind w:hanging="720"/>
      </w:pPr>
      <w:r w:rsidRPr="001E1601">
        <w:rPr>
          <w:rStyle w:val="PleaseReviewParagraphId"/>
          <w:b w:val="0"/>
        </w:rPr>
        <w:t>[230]</w:t>
      </w:r>
      <w:r w:rsidRPr="001E1601">
        <w:t>References</w:t>
      </w:r>
    </w:p>
    <w:p w14:paraId="491D0381" w14:textId="77777777" w:rsidR="00171C04" w:rsidRPr="001E1601" w:rsidRDefault="006B4FB1" w:rsidP="00596373">
      <w:pPr>
        <w:pStyle w:val="IPPParagraphnumbering"/>
        <w:tabs>
          <w:tab w:val="clear" w:pos="0"/>
        </w:tabs>
        <w:ind w:firstLine="0"/>
        <w:rPr>
          <w:rStyle w:val="Signature1"/>
          <w:lang w:val="en-GB"/>
        </w:rPr>
      </w:pPr>
      <w:r w:rsidRPr="001E1601">
        <w:rPr>
          <w:rStyle w:val="PleaseReviewParagraphId"/>
          <w:lang w:val="en-GB"/>
        </w:rPr>
        <w:t>[231]</w:t>
      </w:r>
      <w:bookmarkStart w:id="82" w:name="_Hlk50469584"/>
      <w:r w:rsidRPr="001E1601">
        <w:rPr>
          <w:lang w:val="en-GB"/>
        </w:rPr>
        <w:t>The present annex may refer to ISPMs. ISPMs are available on the International Phytosanitary Portal (IPP) at </w:t>
      </w:r>
      <w:hyperlink r:id="rId19" w:history="1">
        <w:r w:rsidRPr="001E1601">
          <w:rPr>
            <w:rStyle w:val="Hyperlink"/>
            <w:lang w:val="en-GB"/>
          </w:rPr>
          <w:t>www.ippc.int/core-activities/standards-setting/ispms</w:t>
        </w:r>
      </w:hyperlink>
      <w:r w:rsidRPr="001E1601">
        <w:rPr>
          <w:rStyle w:val="Signature1"/>
          <w:szCs w:val="22"/>
          <w:lang w:val="en-GB"/>
        </w:rPr>
        <w:t>.</w:t>
      </w:r>
    </w:p>
    <w:p w14:paraId="491D0382" w14:textId="088C3868" w:rsidR="00171C04" w:rsidRPr="001E1601" w:rsidRDefault="006B4FB1" w:rsidP="00596373">
      <w:pPr>
        <w:pStyle w:val="IPPParagraphnumbering"/>
        <w:tabs>
          <w:tab w:val="clear" w:pos="0"/>
        </w:tabs>
        <w:ind w:firstLine="0"/>
        <w:rPr>
          <w:lang w:val="en-GB"/>
        </w:rPr>
      </w:pPr>
      <w:r w:rsidRPr="001E1601">
        <w:rPr>
          <w:rStyle w:val="PleaseReviewParagraphId"/>
          <w:lang w:val="en-GB"/>
        </w:rPr>
        <w:t>[232]</w:t>
      </w:r>
      <w:r w:rsidRPr="001E1601">
        <w:rPr>
          <w:b/>
          <w:bCs/>
          <w:lang w:val="en-GB"/>
        </w:rPr>
        <w:t>Agboton</w:t>
      </w:r>
      <w:bookmarkEnd w:id="82"/>
      <w:r w:rsidRPr="001E1601">
        <w:rPr>
          <w:b/>
          <w:bCs/>
          <w:lang w:val="en-GB"/>
        </w:rPr>
        <w:t xml:space="preserve">, B.V., Hanna, R. &amp; von Tiedemann, A. </w:t>
      </w:r>
      <w:r w:rsidRPr="001E1601">
        <w:rPr>
          <w:lang w:val="en-GB"/>
        </w:rPr>
        <w:t xml:space="preserve">2011. Molecular detection of establishment and geographical distribution of Brazilian isolates of </w:t>
      </w:r>
      <w:r w:rsidRPr="001E1601">
        <w:rPr>
          <w:i/>
          <w:iCs/>
          <w:lang w:val="en-GB"/>
        </w:rPr>
        <w:t>Neozygites tanajoae</w:t>
      </w:r>
      <w:r w:rsidRPr="001E1601">
        <w:rPr>
          <w:lang w:val="en-GB"/>
        </w:rPr>
        <w:t xml:space="preserve">, a fungus pathogenic to cassava green mite, in Benin (West Africa). </w:t>
      </w:r>
      <w:r w:rsidRPr="001E1601">
        <w:rPr>
          <w:i/>
          <w:iCs/>
          <w:lang w:val="en-GB"/>
        </w:rPr>
        <w:t>Experimental and Applied Acarology</w:t>
      </w:r>
      <w:r w:rsidRPr="001E1601">
        <w:rPr>
          <w:lang w:val="en-GB"/>
        </w:rPr>
        <w:t>, 53: 235–244.</w:t>
      </w:r>
      <w:bookmarkStart w:id="83" w:name="_Hlk69379467"/>
      <w:bookmarkEnd w:id="83"/>
      <w:r w:rsidR="00A919FE" w:rsidRPr="001E1601">
        <w:rPr>
          <w:lang w:val="en-GB"/>
        </w:rPr>
        <w:t xml:space="preserve"> </w:t>
      </w:r>
      <w:hyperlink r:id="rId20" w:history="1">
        <w:r w:rsidR="00A919FE" w:rsidRPr="001E1601">
          <w:rPr>
            <w:rStyle w:val="Hyperlink"/>
            <w:lang w:val="en-GB"/>
          </w:rPr>
          <w:t>https://doi.org/10.1007/s10493-010-9395-3</w:t>
        </w:r>
      </w:hyperlink>
    </w:p>
    <w:p w14:paraId="491D0383"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[233]</w:t>
      </w:r>
      <w:r w:rsidRPr="001E1601">
        <w:rPr>
          <w:b/>
          <w:bCs/>
          <w:lang w:val="en-GB"/>
        </w:rPr>
        <w:t xml:space="preserve">Aguilar, H. &amp; Murillo, P. </w:t>
      </w:r>
      <w:r w:rsidRPr="001E1601">
        <w:rPr>
          <w:lang w:val="en-GB"/>
        </w:rPr>
        <w:t xml:space="preserve">2008. New hosts and records of plant feeding mites for Costa Rica: interval 2002–2008. </w:t>
      </w:r>
      <w:r w:rsidRPr="001E1601">
        <w:rPr>
          <w:i/>
          <w:iCs/>
          <w:lang w:val="en-GB"/>
        </w:rPr>
        <w:t>Agronomia Costarricense</w:t>
      </w:r>
      <w:r w:rsidRPr="001E1601">
        <w:rPr>
          <w:lang w:val="en-GB"/>
        </w:rPr>
        <w:t>, 32: 7–28.</w:t>
      </w:r>
    </w:p>
    <w:p w14:paraId="491D0384" w14:textId="2FE8BFD0"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[234]</w:t>
      </w:r>
      <w:r w:rsidRPr="001E1601">
        <w:rPr>
          <w:b/>
          <w:bCs/>
          <w:lang w:val="en-GB"/>
        </w:rPr>
        <w:t xml:space="preserve">Andrews, K.L. &amp; Poe, S.L. </w:t>
      </w:r>
      <w:r w:rsidRPr="001E1601">
        <w:rPr>
          <w:lang w:val="en-GB"/>
        </w:rPr>
        <w:t xml:space="preserve">1980. Spider mites of El Salvador, Central America (Acari: Tetranychidae). </w:t>
      </w:r>
      <w:r w:rsidRPr="001E1601">
        <w:rPr>
          <w:i/>
          <w:iCs/>
          <w:lang w:val="en-GB"/>
        </w:rPr>
        <w:t>Florida Entomologist</w:t>
      </w:r>
      <w:r w:rsidRPr="001E1601">
        <w:rPr>
          <w:lang w:val="en-GB"/>
        </w:rPr>
        <w:t>, 63: 502–505.</w:t>
      </w:r>
      <w:r w:rsidR="00A919FE" w:rsidRPr="001E1601">
        <w:rPr>
          <w:lang w:val="en-GB"/>
        </w:rPr>
        <w:t xml:space="preserve"> </w:t>
      </w:r>
      <w:hyperlink r:id="rId21" w:history="1">
        <w:r w:rsidR="00527931" w:rsidRPr="001E1601">
          <w:rPr>
            <w:rStyle w:val="Hyperlink"/>
            <w:lang w:val="en-GB"/>
          </w:rPr>
          <w:t>https://journals.flvc.org/flaent/article/view/57526</w:t>
        </w:r>
      </w:hyperlink>
    </w:p>
    <w:p w14:paraId="491D0385"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[235]</w:t>
      </w:r>
      <w:r w:rsidRPr="001E1601">
        <w:rPr>
          <w:b/>
          <w:bCs/>
          <w:lang w:val="en-GB"/>
        </w:rPr>
        <w:t xml:space="preserve">Baker, E.W. &amp; Pritchard, A.E. </w:t>
      </w:r>
      <w:r w:rsidRPr="001E1601">
        <w:rPr>
          <w:lang w:val="en-GB"/>
        </w:rPr>
        <w:t xml:space="preserve">1962. Arañas rojas de América Central (Acarina: Tetranychidae). </w:t>
      </w:r>
      <w:r w:rsidRPr="001E1601">
        <w:rPr>
          <w:i/>
          <w:iCs/>
          <w:lang w:val="en-GB"/>
        </w:rPr>
        <w:t>Revista de la Sociedad Mexicana de Historia Natural</w:t>
      </w:r>
      <w:r w:rsidRPr="001E1601">
        <w:rPr>
          <w:lang w:val="en-GB"/>
        </w:rPr>
        <w:t>, 23: 309–340.</w:t>
      </w:r>
    </w:p>
    <w:p w14:paraId="491D0386" w14:textId="7777777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[236]</w:t>
      </w:r>
      <w:r w:rsidRPr="001E1601">
        <w:rPr>
          <w:b/>
          <w:bCs/>
          <w:lang w:val="en-GB"/>
        </w:rPr>
        <w:t xml:space="preserve">Bolland, H.R., Gutierrez, J. &amp; Flechtmann, C.H.W. </w:t>
      </w:r>
      <w:r w:rsidRPr="001E1601">
        <w:rPr>
          <w:lang w:val="en-GB"/>
        </w:rPr>
        <w:t xml:space="preserve">1998. </w:t>
      </w:r>
      <w:r w:rsidRPr="001E1601">
        <w:rPr>
          <w:i/>
          <w:iCs/>
          <w:lang w:val="en-GB"/>
        </w:rPr>
        <w:t>World catalogue of the spider mite family (Acari: Tetranychidae)</w:t>
      </w:r>
      <w:r w:rsidRPr="001E1601">
        <w:rPr>
          <w:lang w:val="en-GB"/>
        </w:rPr>
        <w:t>. Leiden, Netherlands, K. Brill. 392 pp.</w:t>
      </w:r>
    </w:p>
    <w:p w14:paraId="491D0387"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[237]</w:t>
      </w:r>
      <w:r w:rsidRPr="001E1601">
        <w:rPr>
          <w:b/>
          <w:bCs/>
          <w:lang w:val="en-GB"/>
        </w:rPr>
        <w:t xml:space="preserve">Bondar, G. </w:t>
      </w:r>
      <w:r w:rsidRPr="001E1601">
        <w:rPr>
          <w:lang w:val="en-GB"/>
        </w:rPr>
        <w:t xml:space="preserve">1938. Notas entomologicas da bahia III. </w:t>
      </w:r>
      <w:r w:rsidRPr="001E1601">
        <w:rPr>
          <w:i/>
          <w:iCs/>
          <w:lang w:val="en-GB"/>
        </w:rPr>
        <w:t>Revista Entomologica do Brasil</w:t>
      </w:r>
      <w:r w:rsidRPr="001E1601">
        <w:rPr>
          <w:lang w:val="en-GB"/>
        </w:rPr>
        <w:t>, 9: 441–445.</w:t>
      </w:r>
    </w:p>
    <w:p w14:paraId="1597AA60" w14:textId="2A430B60" w:rsidR="00693630" w:rsidRPr="001E1601" w:rsidRDefault="006B4FB1" w:rsidP="00596373">
      <w:pPr>
        <w:pStyle w:val="IPPParagraphnumbering"/>
        <w:tabs>
          <w:tab w:val="clear" w:pos="0"/>
        </w:tabs>
        <w:ind w:firstLine="0"/>
        <w:rPr>
          <w:lang w:val="en-GB"/>
        </w:rPr>
      </w:pPr>
      <w:r w:rsidRPr="001E1601">
        <w:rPr>
          <w:rStyle w:val="PleaseReviewParagraphId"/>
          <w:lang w:val="en-GB"/>
        </w:rPr>
        <w:t>[238]</w:t>
      </w:r>
      <w:r w:rsidRPr="001E1601">
        <w:rPr>
          <w:b/>
          <w:bCs/>
          <w:lang w:val="en-GB"/>
        </w:rPr>
        <w:t xml:space="preserve">Byrne, D.H., Belloti, A.C. &amp; Guerrero, J.M. </w:t>
      </w:r>
      <w:r w:rsidRPr="001E1601">
        <w:rPr>
          <w:lang w:val="en-GB"/>
        </w:rPr>
        <w:t xml:space="preserve">1983. The cassava mites. </w:t>
      </w:r>
      <w:r w:rsidRPr="001E1601">
        <w:rPr>
          <w:i/>
          <w:iCs/>
          <w:lang w:val="en-GB"/>
        </w:rPr>
        <w:t>Tropical Pest Management</w:t>
      </w:r>
      <w:r w:rsidRPr="001E1601">
        <w:rPr>
          <w:lang w:val="en-GB"/>
        </w:rPr>
        <w:t xml:space="preserve">, 29(4): 378–394. </w:t>
      </w:r>
      <w:hyperlink r:id="rId22" w:history="1">
        <w:r w:rsidR="00527931" w:rsidRPr="001E1601">
          <w:rPr>
            <w:rStyle w:val="Hyperlink"/>
            <w:lang w:val="en-GB"/>
          </w:rPr>
          <w:t>https://doi.org/10.1080/09670878309370833</w:t>
        </w:r>
      </w:hyperlink>
    </w:p>
    <w:p w14:paraId="491D0389" w14:textId="794F2CC6" w:rsidR="00171C04" w:rsidRPr="001E1601" w:rsidRDefault="006B4FB1" w:rsidP="00527931">
      <w:pPr>
        <w:pStyle w:val="IPPParagraphnumbering"/>
        <w:tabs>
          <w:tab w:val="clear" w:pos="0"/>
        </w:tabs>
        <w:ind w:firstLine="0"/>
        <w:rPr>
          <w:lang w:val="en-GB"/>
        </w:rPr>
      </w:pPr>
      <w:r w:rsidRPr="001E1601">
        <w:rPr>
          <w:rStyle w:val="PleaseReviewParagraphId"/>
          <w:lang w:val="en-GB"/>
        </w:rPr>
        <w:t>[239]</w:t>
      </w:r>
      <w:r w:rsidRPr="001E1601">
        <w:rPr>
          <w:b/>
          <w:bCs/>
          <w:lang w:val="en-GB"/>
        </w:rPr>
        <w:t xml:space="preserve">Byrne, D.H., Guerrero, J.M., Belloti, A.C. &amp; Gracen, V.E. </w:t>
      </w:r>
      <w:r w:rsidRPr="001E1601">
        <w:rPr>
          <w:lang w:val="en-GB"/>
        </w:rPr>
        <w:t xml:space="preserve">1982. Yield and plant growth responses of </w:t>
      </w:r>
      <w:r w:rsidRPr="001E1601">
        <w:rPr>
          <w:i/>
          <w:iCs/>
          <w:lang w:val="en-GB"/>
        </w:rPr>
        <w:t>Mononychellus</w:t>
      </w:r>
      <w:r w:rsidRPr="001E1601">
        <w:rPr>
          <w:lang w:val="en-GB"/>
        </w:rPr>
        <w:t xml:space="preserve"> mite resistant and susceptible cassava cultivars under protected vs. infested </w:t>
      </w:r>
      <w:r w:rsidRPr="00584267">
        <w:rPr>
          <w:spacing w:val="-4"/>
          <w:lang w:val="en-GB"/>
        </w:rPr>
        <w:t xml:space="preserve">conditions. </w:t>
      </w:r>
      <w:r w:rsidRPr="00584267">
        <w:rPr>
          <w:i/>
          <w:iCs/>
          <w:spacing w:val="-4"/>
          <w:lang w:val="en-GB"/>
        </w:rPr>
        <w:t>Crop Science</w:t>
      </w:r>
      <w:r w:rsidRPr="00584267">
        <w:rPr>
          <w:spacing w:val="-4"/>
          <w:lang w:val="en-GB"/>
        </w:rPr>
        <w:t>, 22(3): 486–490.</w:t>
      </w:r>
      <w:r w:rsidR="00527931" w:rsidRPr="00584267">
        <w:rPr>
          <w:spacing w:val="-4"/>
          <w:lang w:val="en-GB"/>
        </w:rPr>
        <w:t xml:space="preserve"> </w:t>
      </w:r>
      <w:hyperlink r:id="rId23" w:history="1">
        <w:r w:rsidR="00181E05" w:rsidRPr="00584267">
          <w:rPr>
            <w:rStyle w:val="Hyperlink"/>
            <w:spacing w:val="-4"/>
            <w:lang w:val="en-GB"/>
          </w:rPr>
          <w:t>https://doi.org/10.2135/cropsci1982.0011183X002200030011x</w:t>
        </w:r>
      </w:hyperlink>
    </w:p>
    <w:p w14:paraId="491D038A" w14:textId="0480832E"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[240]</w:t>
      </w:r>
      <w:r w:rsidRPr="001E1601">
        <w:rPr>
          <w:b/>
          <w:bCs/>
          <w:lang w:val="en-GB"/>
        </w:rPr>
        <w:t>CABI</w:t>
      </w:r>
      <w:r w:rsidRPr="001E1601">
        <w:rPr>
          <w:lang w:val="en-GB"/>
        </w:rPr>
        <w:t>.</w:t>
      </w:r>
      <w:r w:rsidRPr="001E1601">
        <w:rPr>
          <w:b/>
          <w:bCs/>
          <w:lang w:val="en-GB"/>
        </w:rPr>
        <w:t xml:space="preserve"> </w:t>
      </w:r>
      <w:r w:rsidRPr="001E1601">
        <w:rPr>
          <w:lang w:val="en-GB"/>
        </w:rPr>
        <w:t>202</w:t>
      </w:r>
      <w:r w:rsidR="00493F9B">
        <w:rPr>
          <w:lang w:val="en-GB"/>
        </w:rPr>
        <w:t>3</w:t>
      </w:r>
      <w:r w:rsidRPr="001E1601">
        <w:rPr>
          <w:lang w:val="en-GB"/>
        </w:rPr>
        <w:t xml:space="preserve">. </w:t>
      </w:r>
      <w:r w:rsidR="00493F9B" w:rsidRPr="00493F9B">
        <w:rPr>
          <w:i/>
          <w:iCs/>
          <w:lang w:val="en-GB"/>
        </w:rPr>
        <w:t>Mononychellus tanajoa</w:t>
      </w:r>
      <w:r w:rsidR="00493F9B" w:rsidRPr="00493F9B">
        <w:rPr>
          <w:i/>
          <w:lang w:val="en-GB"/>
        </w:rPr>
        <w:t xml:space="preserve"> (cassava green mite). In: </w:t>
      </w:r>
      <w:r w:rsidR="00493F9B" w:rsidRPr="00493F9B">
        <w:rPr>
          <w:i/>
          <w:iCs/>
          <w:lang w:val="en-GB"/>
        </w:rPr>
        <w:t>CABI compendium</w:t>
      </w:r>
      <w:r w:rsidR="00493F9B" w:rsidRPr="00493F9B">
        <w:rPr>
          <w:i/>
          <w:lang w:val="en-GB"/>
        </w:rPr>
        <w:t xml:space="preserve">. Wallingford, UK. [Cited </w:t>
      </w:r>
      <w:r w:rsidR="002C1C1E">
        <w:rPr>
          <w:i/>
          <w:lang w:val="en-GB"/>
        </w:rPr>
        <w:t>16</w:t>
      </w:r>
      <w:r w:rsidR="00493F9B" w:rsidRPr="00493F9B">
        <w:rPr>
          <w:i/>
          <w:lang w:val="en-GB"/>
        </w:rPr>
        <w:t xml:space="preserve"> May 2023]. </w:t>
      </w:r>
      <w:hyperlink r:id="rId24" w:history="1">
        <w:r w:rsidR="00493F9B" w:rsidRPr="00493F9B">
          <w:rPr>
            <w:rStyle w:val="Hyperlink"/>
            <w:i/>
            <w:lang w:val="en-GB"/>
          </w:rPr>
          <w:t>https://doi.org/10.1079/cabicompendium.34767</w:t>
        </w:r>
      </w:hyperlink>
    </w:p>
    <w:p w14:paraId="491D038B" w14:textId="29F3FB21"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[241]</w:t>
      </w:r>
      <w:r w:rsidRPr="001E1601">
        <w:rPr>
          <w:b/>
          <w:bCs/>
          <w:lang w:val="en-GB"/>
        </w:rPr>
        <w:t xml:space="preserve">de Lillo, E. </w:t>
      </w:r>
      <w:r w:rsidRPr="001E1601">
        <w:rPr>
          <w:lang w:val="en-GB"/>
        </w:rPr>
        <w:t xml:space="preserve">2009. A modified method for eriophyoid mite extraction (Acari: Eriophyoidea). </w:t>
      </w:r>
      <w:r w:rsidRPr="001E1601">
        <w:rPr>
          <w:i/>
          <w:iCs/>
          <w:lang w:val="en-GB"/>
        </w:rPr>
        <w:t>International Journal of Acarology</w:t>
      </w:r>
      <w:r w:rsidRPr="001E1601">
        <w:rPr>
          <w:lang w:val="en-GB"/>
        </w:rPr>
        <w:t>, 27(1): 67–70.</w:t>
      </w:r>
      <w:r w:rsidR="00181E05" w:rsidRPr="001E1601">
        <w:rPr>
          <w:lang w:val="en-GB"/>
        </w:rPr>
        <w:t xml:space="preserve"> </w:t>
      </w:r>
      <w:hyperlink r:id="rId25" w:history="1">
        <w:r w:rsidR="00181E05" w:rsidRPr="001E1601">
          <w:rPr>
            <w:rStyle w:val="Hyperlink"/>
            <w:lang w:val="en-GB"/>
          </w:rPr>
          <w:t>https://doi.org/10.1080/01647950108684228</w:t>
        </w:r>
      </w:hyperlink>
    </w:p>
    <w:p w14:paraId="491D038C" w14:textId="49D457DF"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[242]</w:t>
      </w:r>
      <w:r w:rsidRPr="001E1601">
        <w:rPr>
          <w:b/>
          <w:bCs/>
          <w:lang w:val="en-GB"/>
        </w:rPr>
        <w:t xml:space="preserve">Delalibera Jr, I., Hajek, A.E. &amp; Humber, R.A. </w:t>
      </w:r>
      <w:r w:rsidRPr="001E1601">
        <w:rPr>
          <w:lang w:val="en-GB"/>
        </w:rPr>
        <w:t xml:space="preserve">2004. </w:t>
      </w:r>
      <w:r w:rsidRPr="001E1601">
        <w:rPr>
          <w:i/>
          <w:iCs/>
          <w:lang w:val="en-GB"/>
        </w:rPr>
        <w:t>Neozygites tanajoae</w:t>
      </w:r>
      <w:r w:rsidRPr="001E1601">
        <w:rPr>
          <w:lang w:val="en-GB"/>
        </w:rPr>
        <w:t xml:space="preserve"> sp. nov., a pathogen of the cassava green mite. </w:t>
      </w:r>
      <w:r w:rsidRPr="001E1601">
        <w:rPr>
          <w:i/>
          <w:iCs/>
          <w:lang w:val="en-GB"/>
        </w:rPr>
        <w:t>Mycologia</w:t>
      </w:r>
      <w:r w:rsidRPr="001E1601">
        <w:rPr>
          <w:lang w:val="en-GB"/>
        </w:rPr>
        <w:t>, 96(5): 1002–1009.</w:t>
      </w:r>
      <w:r w:rsidR="009475C0" w:rsidRPr="001E1601">
        <w:rPr>
          <w:lang w:val="en-GB"/>
        </w:rPr>
        <w:t xml:space="preserve"> </w:t>
      </w:r>
      <w:hyperlink r:id="rId26" w:history="1">
        <w:r w:rsidR="00E7233A" w:rsidRPr="001E1601">
          <w:rPr>
            <w:rStyle w:val="Hyperlink"/>
            <w:lang w:val="en-GB"/>
          </w:rPr>
          <w:t>https://doi.org/10.1080/</w:t>
        </w:r>
        <w:r w:rsidR="00E7233A" w:rsidRPr="001E1601">
          <w:rPr>
            <w:rStyle w:val="Hyperlink"/>
            <w:lang w:val="en-GB"/>
          </w:rPr>
          <w:br/>
          <w:t>15572536.2005.11832900</w:t>
        </w:r>
      </w:hyperlink>
    </w:p>
    <w:p w14:paraId="491D038D" w14:textId="54915F9C"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[243]</w:t>
      </w:r>
      <w:r w:rsidRPr="001E1601">
        <w:rPr>
          <w:b/>
          <w:bCs/>
          <w:lang w:val="en-GB"/>
        </w:rPr>
        <w:t>de Mendonça, R.S., Navia, D., Diniz, I.R., Auger, P. &amp; Navajas, M.</w:t>
      </w:r>
      <w:r w:rsidRPr="001E1601">
        <w:rPr>
          <w:lang w:val="en-GB"/>
        </w:rPr>
        <w:t xml:space="preserve"> 2011. A critical review on some closely related species of </w:t>
      </w:r>
      <w:r w:rsidRPr="001E1601">
        <w:rPr>
          <w:i/>
          <w:iCs/>
          <w:lang w:val="en-GB"/>
        </w:rPr>
        <w:t>Tetranychus</w:t>
      </w:r>
      <w:r w:rsidRPr="001E1601">
        <w:rPr>
          <w:lang w:val="en-GB"/>
        </w:rPr>
        <w:t xml:space="preserve"> </w:t>
      </w:r>
      <w:r w:rsidRPr="001E1601">
        <w:rPr>
          <w:i/>
          <w:iCs/>
          <w:lang w:val="en-GB"/>
        </w:rPr>
        <w:t>sensu stricto</w:t>
      </w:r>
      <w:r w:rsidRPr="001E1601">
        <w:rPr>
          <w:lang w:val="en-GB"/>
        </w:rPr>
        <w:t xml:space="preserve"> (Acari: Tetranychidae) in the public DNA sequences databases. </w:t>
      </w:r>
      <w:r w:rsidRPr="001E1601">
        <w:rPr>
          <w:i/>
          <w:iCs/>
          <w:lang w:val="en-GB"/>
        </w:rPr>
        <w:t>Experimental and Applied Acarology</w:t>
      </w:r>
      <w:r w:rsidRPr="001E1601">
        <w:rPr>
          <w:lang w:val="en-GB"/>
        </w:rPr>
        <w:t>, 55: 1–23.</w:t>
      </w:r>
      <w:r w:rsidR="00A652CC" w:rsidRPr="001E1601">
        <w:rPr>
          <w:lang w:val="en-GB"/>
        </w:rPr>
        <w:t xml:space="preserve"> </w:t>
      </w:r>
      <w:hyperlink r:id="rId27" w:history="1">
        <w:r w:rsidR="00A652CC" w:rsidRPr="001E1601">
          <w:rPr>
            <w:rStyle w:val="Hyperlink"/>
            <w:lang w:val="en-GB"/>
          </w:rPr>
          <w:t>https://doi.org/10.1007/s10493-011-9453-5</w:t>
        </w:r>
      </w:hyperlink>
    </w:p>
    <w:p w14:paraId="491D038E" w14:textId="7F911F6B" w:rsidR="00171C04" w:rsidRPr="001E1601" w:rsidRDefault="006B4FB1" w:rsidP="00596373">
      <w:pPr>
        <w:pStyle w:val="IPPParagraphnumbering"/>
        <w:tabs>
          <w:tab w:val="clear" w:pos="0"/>
        </w:tabs>
        <w:ind w:firstLine="0"/>
        <w:rPr>
          <w:lang w:val="en-GB"/>
        </w:rPr>
      </w:pPr>
      <w:r w:rsidRPr="001E1601">
        <w:rPr>
          <w:rStyle w:val="PleaseReviewParagraphId"/>
          <w:lang w:val="en-GB"/>
        </w:rPr>
        <w:lastRenderedPageBreak/>
        <w:t>[244]</w:t>
      </w:r>
      <w:r w:rsidRPr="001E1601">
        <w:rPr>
          <w:b/>
          <w:bCs/>
          <w:lang w:val="en-GB"/>
        </w:rPr>
        <w:t xml:space="preserve">Demite, P.R., de Moraes, G.J., McMurtry, J.A., Denmark, H.A. &amp; Castilho, R.C. </w:t>
      </w:r>
      <w:r w:rsidRPr="001E1601">
        <w:rPr>
          <w:lang w:val="en-GB"/>
        </w:rPr>
        <w:t xml:space="preserve">2021. </w:t>
      </w:r>
      <w:r w:rsidRPr="001E1601">
        <w:rPr>
          <w:i/>
          <w:iCs/>
          <w:lang w:val="en-GB"/>
        </w:rPr>
        <w:t>Phytoseiidae database</w:t>
      </w:r>
      <w:r w:rsidRPr="001E1601">
        <w:rPr>
          <w:lang w:val="en-GB"/>
        </w:rPr>
        <w:t xml:space="preserve">. </w:t>
      </w:r>
      <w:r w:rsidR="004F422F" w:rsidRPr="001E1601">
        <w:rPr>
          <w:lang w:val="en-GB"/>
        </w:rPr>
        <w:t>[</w:t>
      </w:r>
      <w:r w:rsidRPr="001E1601">
        <w:rPr>
          <w:lang w:val="en-GB"/>
        </w:rPr>
        <w:t>Cited 12 February 2021</w:t>
      </w:r>
      <w:r w:rsidR="004F422F" w:rsidRPr="001E1601">
        <w:rPr>
          <w:lang w:val="en-GB"/>
        </w:rPr>
        <w:t>]</w:t>
      </w:r>
      <w:r w:rsidRPr="001E1601">
        <w:rPr>
          <w:lang w:val="en-GB"/>
        </w:rPr>
        <w:t xml:space="preserve">. </w:t>
      </w:r>
      <w:hyperlink r:id="rId28" w:history="1">
        <w:r w:rsidRPr="001E1601">
          <w:rPr>
            <w:rStyle w:val="Hyperlink"/>
            <w:lang w:val="en-GB"/>
          </w:rPr>
          <w:t>www.lea.esalq.usp.br/phytoseiidae</w:t>
        </w:r>
      </w:hyperlink>
    </w:p>
    <w:p w14:paraId="0B0656BE" w14:textId="6E665CF0" w:rsidR="0067498E" w:rsidRPr="001E1601" w:rsidRDefault="0067498E" w:rsidP="00596373">
      <w:pPr>
        <w:pStyle w:val="IPPParagraphnumbering"/>
        <w:tabs>
          <w:tab w:val="clear" w:pos="0"/>
        </w:tabs>
        <w:ind w:firstLine="0"/>
        <w:rPr>
          <w:lang w:val="en-GB"/>
        </w:rPr>
      </w:pPr>
      <w:r w:rsidRPr="00584267">
        <w:rPr>
          <w:b/>
          <w:bCs/>
          <w:lang w:val="en-GB"/>
        </w:rPr>
        <w:t xml:space="preserve">EPPO </w:t>
      </w:r>
      <w:r w:rsidR="004F422F" w:rsidRPr="00584267">
        <w:rPr>
          <w:b/>
          <w:bCs/>
          <w:lang w:val="en-GB"/>
        </w:rPr>
        <w:t>(</w:t>
      </w:r>
      <w:r w:rsidR="004F422F" w:rsidRPr="001E1601">
        <w:rPr>
          <w:b/>
          <w:bCs/>
          <w:lang w:val="en-GB"/>
        </w:rPr>
        <w:t>European and Mediterranean Plant Protection Organization</w:t>
      </w:r>
      <w:r w:rsidR="00E7233A" w:rsidRPr="001E1601">
        <w:rPr>
          <w:b/>
          <w:bCs/>
          <w:lang w:val="en-GB"/>
        </w:rPr>
        <w:t>)</w:t>
      </w:r>
      <w:r w:rsidR="004F422F" w:rsidRPr="001E1601">
        <w:rPr>
          <w:lang w:val="en-GB"/>
        </w:rPr>
        <w:t xml:space="preserve">. </w:t>
      </w:r>
      <w:r w:rsidRPr="001E1601">
        <w:rPr>
          <w:lang w:val="en-GB"/>
        </w:rPr>
        <w:t>2021</w:t>
      </w:r>
      <w:r w:rsidR="004F422F" w:rsidRPr="001E1601">
        <w:rPr>
          <w:lang w:val="en-GB"/>
        </w:rPr>
        <w:t>.</w:t>
      </w:r>
      <w:r w:rsidRPr="001E1601">
        <w:rPr>
          <w:lang w:val="en-GB"/>
        </w:rPr>
        <w:t xml:space="preserve"> DNA barcoding as an identification tool for a number of regulated pests. </w:t>
      </w:r>
      <w:r w:rsidR="00AA7A2E" w:rsidRPr="001E1601">
        <w:rPr>
          <w:lang w:val="en-GB"/>
        </w:rPr>
        <w:t xml:space="preserve">PM 7/129 (2). </w:t>
      </w:r>
      <w:r w:rsidRPr="00584267">
        <w:rPr>
          <w:i/>
          <w:iCs/>
          <w:lang w:val="en-GB"/>
        </w:rPr>
        <w:t>EPPO Bull</w:t>
      </w:r>
      <w:r w:rsidR="004F422F" w:rsidRPr="00584267">
        <w:rPr>
          <w:i/>
          <w:iCs/>
          <w:lang w:val="en-GB"/>
        </w:rPr>
        <w:t>etin</w:t>
      </w:r>
      <w:r w:rsidRPr="001E1601">
        <w:rPr>
          <w:lang w:val="en-GB"/>
        </w:rPr>
        <w:t>, 51: 100</w:t>
      </w:r>
      <w:r w:rsidR="004F422F" w:rsidRPr="001E1601">
        <w:rPr>
          <w:lang w:val="en-GB"/>
        </w:rPr>
        <w:t>–</w:t>
      </w:r>
      <w:r w:rsidRPr="001E1601">
        <w:rPr>
          <w:lang w:val="en-GB"/>
        </w:rPr>
        <w:t xml:space="preserve">143. </w:t>
      </w:r>
      <w:hyperlink r:id="rId29" w:history="1">
        <w:r w:rsidRPr="001E1601">
          <w:rPr>
            <w:rStyle w:val="Hyperlink"/>
            <w:lang w:val="en-GB"/>
          </w:rPr>
          <w:t>https://doi.org/10.1111/epp.12724</w:t>
        </w:r>
      </w:hyperlink>
    </w:p>
    <w:p w14:paraId="491D0391" w14:textId="0CE74A51" w:rsidR="00171C04" w:rsidRPr="001E1601" w:rsidRDefault="39225D59" w:rsidP="00596373">
      <w:pPr>
        <w:pStyle w:val="IPPParagraphnumbering"/>
        <w:tabs>
          <w:tab w:val="clear" w:pos="0"/>
        </w:tabs>
        <w:ind w:firstLine="0"/>
        <w:rPr>
          <w:b/>
          <w:bCs/>
          <w:lang w:val="en-GB"/>
        </w:rPr>
      </w:pPr>
      <w:r w:rsidRPr="001E1601">
        <w:rPr>
          <w:rStyle w:val="PleaseReviewParagraphId"/>
          <w:lang w:val="en-GB"/>
        </w:rPr>
        <w:t>[247]</w:t>
      </w:r>
      <w:r w:rsidRPr="001E1601">
        <w:rPr>
          <w:b/>
          <w:bCs/>
          <w:lang w:val="en-GB"/>
        </w:rPr>
        <w:t>EPPO</w:t>
      </w:r>
      <w:r w:rsidRPr="001E1601">
        <w:rPr>
          <w:lang w:val="en-GB"/>
        </w:rPr>
        <w:t xml:space="preserve">. 2022. </w:t>
      </w:r>
      <w:r w:rsidRPr="001E1601">
        <w:rPr>
          <w:i/>
          <w:iCs/>
          <w:lang w:val="en-GB"/>
        </w:rPr>
        <w:t>Mononychellus tanajoa</w:t>
      </w:r>
      <w:r w:rsidRPr="001E1601">
        <w:rPr>
          <w:lang w:val="en-GB"/>
        </w:rPr>
        <w:t xml:space="preserve"> (MONNTA). In: </w:t>
      </w:r>
      <w:r w:rsidRPr="001E1601">
        <w:rPr>
          <w:i/>
          <w:iCs/>
          <w:lang w:val="en-GB"/>
        </w:rPr>
        <w:t>EPPO global database</w:t>
      </w:r>
      <w:r w:rsidRPr="001E1601">
        <w:rPr>
          <w:lang w:val="en-GB"/>
        </w:rPr>
        <w:t xml:space="preserve">. Paris. </w:t>
      </w:r>
      <w:r w:rsidR="00AA7A2E" w:rsidRPr="001E1601">
        <w:rPr>
          <w:lang w:val="en-GB"/>
        </w:rPr>
        <w:t>[</w:t>
      </w:r>
      <w:r w:rsidRPr="001E1601">
        <w:rPr>
          <w:lang w:val="en-GB"/>
        </w:rPr>
        <w:t>Cited July 2022</w:t>
      </w:r>
      <w:r w:rsidR="00AA7A2E" w:rsidRPr="001E1601">
        <w:rPr>
          <w:lang w:val="en-GB"/>
        </w:rPr>
        <w:t>]</w:t>
      </w:r>
      <w:r w:rsidRPr="001E1601">
        <w:rPr>
          <w:lang w:val="en-GB"/>
        </w:rPr>
        <w:t xml:space="preserve">. </w:t>
      </w:r>
      <w:hyperlink r:id="rId30">
        <w:r w:rsidRPr="001E1601">
          <w:rPr>
            <w:rStyle w:val="Hyperlink"/>
            <w:lang w:val="en-GB"/>
          </w:rPr>
          <w:t>https://gd.eppo.int/taxon/MONNTA</w:t>
        </w:r>
      </w:hyperlink>
    </w:p>
    <w:p w14:paraId="491D0392"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[248]</w:t>
      </w:r>
      <w:r w:rsidRPr="001E1601">
        <w:rPr>
          <w:b/>
          <w:bCs/>
          <w:lang w:val="en-GB"/>
        </w:rPr>
        <w:t xml:space="preserve">Estebanes-Gonzalez, M.L. &amp; Baker, E.W. </w:t>
      </w:r>
      <w:r w:rsidRPr="001E1601">
        <w:rPr>
          <w:lang w:val="en-GB"/>
        </w:rPr>
        <w:t xml:space="preserve">1968. Arañas rojas de Mexico (Acarina: Tetranychidae). </w:t>
      </w:r>
      <w:r w:rsidRPr="001E1601">
        <w:rPr>
          <w:i/>
          <w:iCs/>
          <w:lang w:val="en-GB"/>
        </w:rPr>
        <w:t>Anales de la Escuela Nacional de Ciencias Biologicas</w:t>
      </w:r>
      <w:r w:rsidRPr="001E1601">
        <w:rPr>
          <w:lang w:val="en-GB"/>
        </w:rPr>
        <w:t>, 15: 61–133.</w:t>
      </w:r>
    </w:p>
    <w:p w14:paraId="491D0393" w14:textId="447D5BAE" w:rsidR="00171C04" w:rsidRPr="001E1601" w:rsidRDefault="006B4FB1" w:rsidP="00596373">
      <w:pPr>
        <w:pStyle w:val="IPPParagraphnumbering"/>
        <w:tabs>
          <w:tab w:val="clear" w:pos="0"/>
        </w:tabs>
        <w:ind w:firstLine="0"/>
        <w:rPr>
          <w:lang w:val="en-GB"/>
        </w:rPr>
      </w:pPr>
      <w:r w:rsidRPr="001E1601">
        <w:rPr>
          <w:rStyle w:val="PleaseReviewParagraphId"/>
          <w:lang w:val="en-GB"/>
        </w:rPr>
        <w:t>[249]</w:t>
      </w:r>
      <w:r w:rsidRPr="001E1601">
        <w:rPr>
          <w:b/>
          <w:bCs/>
          <w:lang w:val="en-GB"/>
        </w:rPr>
        <w:t>FAO</w:t>
      </w:r>
      <w:r w:rsidRPr="001E1601">
        <w:rPr>
          <w:lang w:val="en-GB"/>
        </w:rPr>
        <w:t xml:space="preserve">. 2013. </w:t>
      </w:r>
      <w:r w:rsidRPr="001E1601">
        <w:rPr>
          <w:i/>
          <w:iCs/>
          <w:lang w:val="en-GB"/>
        </w:rPr>
        <w:t>Save and grow: cassava – A guide to sustainable production intensification</w:t>
      </w:r>
      <w:r w:rsidRPr="001E1601">
        <w:rPr>
          <w:lang w:val="en-GB"/>
        </w:rPr>
        <w:t>. Rome. 129 pp.</w:t>
      </w:r>
      <w:r w:rsidR="00020D54" w:rsidRPr="001E1601">
        <w:rPr>
          <w:lang w:val="en-GB"/>
        </w:rPr>
        <w:t xml:space="preserve"> </w:t>
      </w:r>
      <w:hyperlink r:id="rId31" w:history="1">
        <w:r w:rsidR="00020D54" w:rsidRPr="001E1601">
          <w:rPr>
            <w:rStyle w:val="Hyperlink"/>
            <w:lang w:val="en-GB"/>
          </w:rPr>
          <w:t>www.fao.org/3/i3278e/i3278e.pdf</w:t>
        </w:r>
      </w:hyperlink>
    </w:p>
    <w:p w14:paraId="491D0394" w14:textId="26E898BB"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[250]</w:t>
      </w:r>
      <w:r w:rsidRPr="001E1601">
        <w:rPr>
          <w:b/>
          <w:bCs/>
          <w:lang w:val="en-GB"/>
        </w:rPr>
        <w:t xml:space="preserve">Flechtmann, C.H.W. &amp; Baker, E.W. </w:t>
      </w:r>
      <w:r w:rsidRPr="001E1601">
        <w:rPr>
          <w:lang w:val="en-GB"/>
        </w:rPr>
        <w:t xml:space="preserve">1970. A preliminary report on the Tetranychidae (Acarina) of Brazil. </w:t>
      </w:r>
      <w:r w:rsidRPr="001E1601">
        <w:rPr>
          <w:i/>
          <w:iCs/>
          <w:lang w:val="en-GB"/>
        </w:rPr>
        <w:t>Annals of the Entomological Society of America</w:t>
      </w:r>
      <w:r w:rsidRPr="001E1601">
        <w:rPr>
          <w:lang w:val="en-GB"/>
        </w:rPr>
        <w:t>, 63: 156–163.</w:t>
      </w:r>
      <w:r w:rsidR="0012169B" w:rsidRPr="001E1601">
        <w:rPr>
          <w:lang w:val="en-GB"/>
        </w:rPr>
        <w:t xml:space="preserve"> </w:t>
      </w:r>
      <w:hyperlink r:id="rId32" w:history="1">
        <w:r w:rsidR="0012169B" w:rsidRPr="001E1601">
          <w:rPr>
            <w:rStyle w:val="Hyperlink"/>
            <w:lang w:val="en-GB"/>
          </w:rPr>
          <w:t>https://doi.org/10.1093/aesa/63.1.156</w:t>
        </w:r>
      </w:hyperlink>
    </w:p>
    <w:p w14:paraId="491D0395" w14:textId="7AFD78B6" w:rsidR="00171C04" w:rsidRPr="001E1601" w:rsidRDefault="006B4FB1" w:rsidP="00596373">
      <w:pPr>
        <w:pStyle w:val="IPPParagraphnumbering"/>
        <w:tabs>
          <w:tab w:val="clear" w:pos="0"/>
        </w:tabs>
        <w:ind w:firstLine="0"/>
        <w:rPr>
          <w:lang w:val="en-GB"/>
        </w:rPr>
      </w:pPr>
      <w:r w:rsidRPr="001E1601">
        <w:rPr>
          <w:rStyle w:val="PleaseReviewParagraphId"/>
          <w:lang w:val="en-GB"/>
        </w:rPr>
        <w:t>[251]</w:t>
      </w:r>
      <w:r w:rsidRPr="001E1601">
        <w:rPr>
          <w:b/>
          <w:bCs/>
          <w:lang w:val="en-GB"/>
        </w:rPr>
        <w:t xml:space="preserve">Flechtmann, C.H.W. &amp; de Queiroz, D.L. </w:t>
      </w:r>
      <w:r w:rsidRPr="001E1601">
        <w:rPr>
          <w:lang w:val="en-GB"/>
        </w:rPr>
        <w:t xml:space="preserve">2015. </w:t>
      </w:r>
      <w:r w:rsidRPr="001E1601">
        <w:rPr>
          <w:i/>
          <w:iCs/>
          <w:lang w:val="en-GB"/>
        </w:rPr>
        <w:t>Mononychellus</w:t>
      </w:r>
      <w:r w:rsidRPr="001E1601">
        <w:rPr>
          <w:lang w:val="en-GB"/>
        </w:rPr>
        <w:t xml:space="preserve"> Wainstein, 1971 (Acari, Prostigmata, Tetranychidae): description of a new species from Brazil and key to species. </w:t>
      </w:r>
      <w:r w:rsidRPr="001E1601">
        <w:rPr>
          <w:i/>
          <w:iCs/>
          <w:lang w:val="en-GB"/>
        </w:rPr>
        <w:t>Systematic &amp; Applied Acarology</w:t>
      </w:r>
      <w:r w:rsidRPr="001E1601">
        <w:rPr>
          <w:lang w:val="en-GB"/>
        </w:rPr>
        <w:t>, 20(7): 831–838.</w:t>
      </w:r>
      <w:r w:rsidR="00CC03AF" w:rsidRPr="001E1601">
        <w:rPr>
          <w:lang w:val="en-GB"/>
        </w:rPr>
        <w:t xml:space="preserve"> </w:t>
      </w:r>
      <w:hyperlink r:id="rId33" w:history="1">
        <w:r w:rsidR="00CC03AF" w:rsidRPr="001E1601">
          <w:rPr>
            <w:rStyle w:val="Hyperlink"/>
            <w:lang w:val="en-GB"/>
          </w:rPr>
          <w:t>https://doi.org/10.11158/saa.20.7.10</w:t>
        </w:r>
      </w:hyperlink>
    </w:p>
    <w:p w14:paraId="491D0396"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[252]</w:t>
      </w:r>
      <w:r w:rsidRPr="001E1601">
        <w:rPr>
          <w:b/>
          <w:bCs/>
          <w:lang w:val="en-GB"/>
        </w:rPr>
        <w:t xml:space="preserve">Folmer, O., Black, M., Hoeh, W., Lutz, R. &amp; Vrijenhoek, R. </w:t>
      </w:r>
      <w:r w:rsidRPr="001E1601">
        <w:rPr>
          <w:lang w:val="en-GB"/>
        </w:rPr>
        <w:t xml:space="preserve">1994. DNA primers for amplification of mitochondrial cytochrome c oxidase subunit I from diverse metazoan invertebrates. </w:t>
      </w:r>
      <w:r w:rsidRPr="001E1601">
        <w:rPr>
          <w:i/>
          <w:iCs/>
          <w:lang w:val="en-GB"/>
        </w:rPr>
        <w:t>Molecular Marine Biology and Biotechnology</w:t>
      </w:r>
      <w:r w:rsidRPr="001E1601">
        <w:rPr>
          <w:lang w:val="en-GB"/>
        </w:rPr>
        <w:t>, 3(5): 294–299.</w:t>
      </w:r>
    </w:p>
    <w:p w14:paraId="491D0397"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[253]</w:t>
      </w:r>
      <w:r w:rsidRPr="001E1601">
        <w:rPr>
          <w:b/>
          <w:bCs/>
          <w:lang w:val="en-GB"/>
        </w:rPr>
        <w:t xml:space="preserve">Gutierrez, A.P., Yaninek, J.S., Wermelinger, B., Herren, H.R. &amp; Ellis, C.K. </w:t>
      </w:r>
      <w:r w:rsidRPr="001E1601">
        <w:rPr>
          <w:lang w:val="en-GB"/>
        </w:rPr>
        <w:t xml:space="preserve">1988. Analysis of biological control of cassava pests in Africa, III: cassava green mite </w:t>
      </w:r>
      <w:r w:rsidRPr="001E1601">
        <w:rPr>
          <w:i/>
          <w:iCs/>
          <w:lang w:val="en-GB"/>
        </w:rPr>
        <w:t>Mononychellus tanajoa. Journal of Applied Ecology</w:t>
      </w:r>
      <w:r w:rsidRPr="001E1601">
        <w:rPr>
          <w:lang w:val="en-GB"/>
        </w:rPr>
        <w:t>, 25(3): 941–950.</w:t>
      </w:r>
    </w:p>
    <w:p w14:paraId="491D0398" w14:textId="35DE3C27" w:rsidR="00171C04" w:rsidRPr="001E1601" w:rsidRDefault="006B4FB1" w:rsidP="00596373">
      <w:pPr>
        <w:pStyle w:val="IPPParagraphnumbering"/>
        <w:tabs>
          <w:tab w:val="clear" w:pos="0"/>
        </w:tabs>
        <w:ind w:firstLine="0"/>
        <w:rPr>
          <w:lang w:val="en-GB"/>
        </w:rPr>
      </w:pPr>
      <w:r w:rsidRPr="001E1601">
        <w:rPr>
          <w:rStyle w:val="PleaseReviewParagraphId"/>
          <w:lang w:val="en-GB"/>
        </w:rPr>
        <w:t>[254]</w:t>
      </w:r>
      <w:r w:rsidRPr="001E1601">
        <w:rPr>
          <w:b/>
          <w:bCs/>
          <w:lang w:val="en-GB"/>
        </w:rPr>
        <w:t xml:space="preserve">Henderson, R.C. </w:t>
      </w:r>
      <w:r w:rsidRPr="001E1601">
        <w:rPr>
          <w:lang w:val="en-GB"/>
        </w:rPr>
        <w:t xml:space="preserve">2001. Technique for positional slide-mounting of Acari. </w:t>
      </w:r>
      <w:r w:rsidRPr="001E1601">
        <w:rPr>
          <w:i/>
          <w:iCs/>
          <w:lang w:val="en-GB"/>
        </w:rPr>
        <w:t>Systematic and Applied Acarology</w:t>
      </w:r>
      <w:r w:rsidRPr="001E1601">
        <w:rPr>
          <w:lang w:val="en-GB"/>
        </w:rPr>
        <w:t xml:space="preserve"> </w:t>
      </w:r>
      <w:r w:rsidRPr="001E1601">
        <w:rPr>
          <w:i/>
          <w:iCs/>
          <w:lang w:val="en-GB"/>
        </w:rPr>
        <w:t>Special Publications</w:t>
      </w:r>
      <w:r w:rsidRPr="001E1601">
        <w:rPr>
          <w:lang w:val="en-GB"/>
        </w:rPr>
        <w:t>, 7: 1–4.</w:t>
      </w:r>
      <w:r w:rsidR="005A5027" w:rsidRPr="001E1601">
        <w:rPr>
          <w:lang w:val="en-GB"/>
        </w:rPr>
        <w:t xml:space="preserve"> </w:t>
      </w:r>
      <w:hyperlink r:id="rId34" w:history="1">
        <w:r w:rsidR="005A5027" w:rsidRPr="001E1601">
          <w:rPr>
            <w:rStyle w:val="Hyperlink"/>
            <w:lang w:val="en-GB"/>
          </w:rPr>
          <w:t>https://doi.org/10.11158/saasp.7.1.1</w:t>
        </w:r>
      </w:hyperlink>
    </w:p>
    <w:p w14:paraId="491D0399"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[255]</w:t>
      </w:r>
      <w:r w:rsidRPr="001E1601">
        <w:rPr>
          <w:b/>
          <w:bCs/>
          <w:lang w:val="en-GB"/>
        </w:rPr>
        <w:t xml:space="preserve">Li, D., Fan, Q.-H. Waite, D.W., Gunawardana, D., George, S. &amp; Kumarasinghe, L. </w:t>
      </w:r>
      <w:r w:rsidRPr="001E1601">
        <w:rPr>
          <w:lang w:val="en-GB"/>
        </w:rPr>
        <w:t xml:space="preserve">2015. Development and validation of real-time PCR assay for rapid detection of two-spotted spider mite, </w:t>
      </w:r>
      <w:r w:rsidRPr="001E1601">
        <w:rPr>
          <w:i/>
          <w:iCs/>
          <w:lang w:val="en-GB"/>
        </w:rPr>
        <w:t>Tetranychus urticae</w:t>
      </w:r>
      <w:r w:rsidRPr="001E1601">
        <w:rPr>
          <w:lang w:val="en-GB"/>
        </w:rPr>
        <w:t xml:space="preserve"> (Acari: Tetranychidae). </w:t>
      </w:r>
      <w:r w:rsidRPr="001E1601">
        <w:rPr>
          <w:i/>
          <w:iCs/>
          <w:lang w:val="en-GB"/>
        </w:rPr>
        <w:t>PLoS ONE</w:t>
      </w:r>
      <w:r w:rsidRPr="001E1601">
        <w:rPr>
          <w:lang w:val="en-GB"/>
        </w:rPr>
        <w:t xml:space="preserve">, 10(7): e0131887. </w:t>
      </w:r>
      <w:hyperlink r:id="rId35" w:history="1">
        <w:r w:rsidRPr="001E1601">
          <w:rPr>
            <w:rStyle w:val="Hyperlink"/>
            <w:lang w:val="en-GB"/>
          </w:rPr>
          <w:t>https://doi.org/10.1371/journal.pone.0131887</w:t>
        </w:r>
      </w:hyperlink>
    </w:p>
    <w:p w14:paraId="491D039A" w14:textId="3834DB2B" w:rsidR="00171C04" w:rsidRPr="001E1601" w:rsidRDefault="006B4FB1" w:rsidP="00596373">
      <w:pPr>
        <w:pStyle w:val="IPPParagraphnumbering"/>
        <w:tabs>
          <w:tab w:val="clear" w:pos="0"/>
        </w:tabs>
        <w:ind w:firstLine="0"/>
        <w:rPr>
          <w:lang w:val="en-GB"/>
        </w:rPr>
      </w:pPr>
      <w:r w:rsidRPr="001E1601">
        <w:rPr>
          <w:rStyle w:val="PleaseReviewParagraphId"/>
          <w:lang w:val="en-GB"/>
        </w:rPr>
        <w:t>[256]</w:t>
      </w:r>
      <w:bookmarkStart w:id="84" w:name="_Hlk72339743"/>
      <w:r w:rsidRPr="001E1601">
        <w:rPr>
          <w:b/>
          <w:bCs/>
          <w:lang w:val="en-GB"/>
        </w:rPr>
        <w:t>Lopes Ribeiro</w:t>
      </w:r>
      <w:bookmarkEnd w:id="84"/>
      <w:r w:rsidRPr="001E1601">
        <w:rPr>
          <w:b/>
          <w:bCs/>
          <w:lang w:val="en-GB"/>
        </w:rPr>
        <w:t xml:space="preserve">, A.E., Corrêa Gondim Jr, M.G., Calderan, E. &amp; Delalibera Jr, I. </w:t>
      </w:r>
      <w:r w:rsidRPr="001E1601">
        <w:rPr>
          <w:lang w:val="en-GB"/>
        </w:rPr>
        <w:t xml:space="preserve">2009. Host range of </w:t>
      </w:r>
      <w:r w:rsidRPr="001E1601">
        <w:rPr>
          <w:i/>
          <w:iCs/>
          <w:lang w:val="en-GB"/>
        </w:rPr>
        <w:t>Neozygites floridana</w:t>
      </w:r>
      <w:r w:rsidRPr="001E1601">
        <w:rPr>
          <w:lang w:val="en-GB"/>
        </w:rPr>
        <w:t xml:space="preserve"> isolates (Zygomycetes: Entomophthorales) to spider mites. </w:t>
      </w:r>
      <w:r w:rsidRPr="001E1601">
        <w:rPr>
          <w:i/>
          <w:iCs/>
          <w:lang w:val="en-GB"/>
        </w:rPr>
        <w:t>Journal of Invertebrate Pathology</w:t>
      </w:r>
      <w:r w:rsidRPr="001E1601">
        <w:rPr>
          <w:lang w:val="en-GB"/>
        </w:rPr>
        <w:t>, 102(3): 196–202.</w:t>
      </w:r>
      <w:r w:rsidR="00F40CC1" w:rsidRPr="001E1601">
        <w:rPr>
          <w:lang w:val="en-GB"/>
        </w:rPr>
        <w:t xml:space="preserve"> </w:t>
      </w:r>
      <w:hyperlink r:id="rId36" w:tgtFrame="_blank" w:tooltip="Persistent link using digital object identifier" w:history="1">
        <w:r w:rsidR="00F40CC1" w:rsidRPr="001E1601">
          <w:rPr>
            <w:rStyle w:val="Hyperlink"/>
            <w:lang w:val="en-GB"/>
          </w:rPr>
          <w:t>https://doi.org/10.1016/j.jip.2009.08.012</w:t>
        </w:r>
      </w:hyperlink>
    </w:p>
    <w:p w14:paraId="491D039B" w14:textId="7777777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[257]</w:t>
      </w:r>
      <w:r w:rsidRPr="001E1601">
        <w:rPr>
          <w:b/>
          <w:bCs/>
          <w:lang w:val="en-GB"/>
        </w:rPr>
        <w:t xml:space="preserve">Lyon, W.F. </w:t>
      </w:r>
      <w:r w:rsidRPr="001E1601">
        <w:rPr>
          <w:lang w:val="en-GB"/>
        </w:rPr>
        <w:t xml:space="preserve">1973. A plant-feeding mite </w:t>
      </w:r>
      <w:r w:rsidRPr="001E1601">
        <w:rPr>
          <w:i/>
          <w:iCs/>
          <w:lang w:val="en-GB"/>
        </w:rPr>
        <w:t>Mononychellus tanajoa</w:t>
      </w:r>
      <w:r w:rsidRPr="001E1601">
        <w:rPr>
          <w:lang w:val="en-GB"/>
        </w:rPr>
        <w:t xml:space="preserve"> (Bondar) (Acarina:Tetranychidae) new to the African continent threatens cassava (</w:t>
      </w:r>
      <w:r w:rsidRPr="001E1601">
        <w:rPr>
          <w:i/>
          <w:iCs/>
          <w:lang w:val="en-GB"/>
        </w:rPr>
        <w:t>Manihot esculenta</w:t>
      </w:r>
      <w:r w:rsidRPr="001E1601">
        <w:rPr>
          <w:lang w:val="en-GB"/>
        </w:rPr>
        <w:t xml:space="preserve"> Crantz) in Uganda, East Africa. </w:t>
      </w:r>
      <w:r w:rsidRPr="001E1601">
        <w:rPr>
          <w:i/>
          <w:iCs/>
          <w:lang w:val="en-GB"/>
        </w:rPr>
        <w:t>PANS Pest Articles &amp; News Summaries</w:t>
      </w:r>
      <w:r w:rsidRPr="001E1601">
        <w:rPr>
          <w:lang w:val="en-GB"/>
        </w:rPr>
        <w:t>, 19(1): 36–37.</w:t>
      </w:r>
    </w:p>
    <w:p w14:paraId="491D039C" w14:textId="2D0A67E4" w:rsidR="00171C04" w:rsidRPr="001E1601" w:rsidRDefault="006B4FB1" w:rsidP="00596373">
      <w:pPr>
        <w:pStyle w:val="IPPParagraphnumbering"/>
        <w:tabs>
          <w:tab w:val="clear" w:pos="0"/>
        </w:tabs>
        <w:ind w:firstLine="0"/>
        <w:rPr>
          <w:lang w:val="en-GB"/>
        </w:rPr>
      </w:pPr>
      <w:r w:rsidRPr="001E1601">
        <w:rPr>
          <w:rStyle w:val="PleaseReviewParagraphId"/>
          <w:lang w:val="en-GB"/>
        </w:rPr>
        <w:t>[258]</w:t>
      </w:r>
      <w:r w:rsidRPr="001E1601">
        <w:rPr>
          <w:b/>
          <w:bCs/>
          <w:lang w:val="en-GB"/>
        </w:rPr>
        <w:t xml:space="preserve">Machi, A.R., de Cássia Neves Esteca, F., Arthur, P.B., Gava, M.A. &amp; Arthur, V. </w:t>
      </w:r>
      <w:r w:rsidRPr="001E1601">
        <w:rPr>
          <w:lang w:val="en-GB"/>
        </w:rPr>
        <w:t xml:space="preserve">2014. A review on </w:t>
      </w:r>
      <w:r w:rsidRPr="001E1601">
        <w:rPr>
          <w:i/>
          <w:lang w:val="en-GB"/>
        </w:rPr>
        <w:t>Mononychellus tanajoa</w:t>
      </w:r>
      <w:r w:rsidRPr="001E1601">
        <w:rPr>
          <w:lang w:val="en-GB"/>
        </w:rPr>
        <w:t xml:space="preserve"> (Bondar, 1938) pest of cassava in Brazil. </w:t>
      </w:r>
      <w:r w:rsidRPr="001E1601">
        <w:rPr>
          <w:i/>
          <w:lang w:val="en-GB"/>
        </w:rPr>
        <w:t>Australian Journal of Basic and Applied Sciences</w:t>
      </w:r>
      <w:r w:rsidRPr="001E1601">
        <w:rPr>
          <w:lang w:val="en-GB"/>
        </w:rPr>
        <w:t>, 8(3): 342–348.</w:t>
      </w:r>
      <w:r w:rsidR="005D0983" w:rsidRPr="001E1601">
        <w:rPr>
          <w:lang w:val="en-GB"/>
        </w:rPr>
        <w:t xml:space="preserve"> </w:t>
      </w:r>
      <w:hyperlink r:id="rId37" w:history="1">
        <w:r w:rsidR="005D0983" w:rsidRPr="001E1601">
          <w:rPr>
            <w:rStyle w:val="Hyperlink"/>
            <w:lang w:val="en-GB"/>
          </w:rPr>
          <w:t>www.ajbasweb.com/old/ajbas/2014/March/342-348.pdf</w:t>
        </w:r>
      </w:hyperlink>
    </w:p>
    <w:p w14:paraId="491D039D" w14:textId="422D0822" w:rsidR="00171C04" w:rsidRPr="001E1601" w:rsidRDefault="006B4FB1" w:rsidP="00596373">
      <w:pPr>
        <w:pStyle w:val="IPPParagraphnumbering"/>
        <w:tabs>
          <w:tab w:val="clear" w:pos="0"/>
        </w:tabs>
        <w:ind w:firstLine="0"/>
        <w:rPr>
          <w:lang w:val="en-GB"/>
        </w:rPr>
      </w:pPr>
      <w:r w:rsidRPr="001E1601">
        <w:rPr>
          <w:rStyle w:val="PleaseReviewParagraphId"/>
          <w:lang w:val="en-GB"/>
        </w:rPr>
        <w:t>[259]</w:t>
      </w:r>
      <w:r w:rsidRPr="001E1601">
        <w:rPr>
          <w:b/>
          <w:bCs/>
          <w:lang w:val="en-GB"/>
        </w:rPr>
        <w:t xml:space="preserve">Matsuda, T., Fukumoto, C., Hinomoto, N. &amp; Gotoh, T. </w:t>
      </w:r>
      <w:r w:rsidRPr="001E1601">
        <w:rPr>
          <w:lang w:val="en-GB"/>
        </w:rPr>
        <w:t xml:space="preserve">2013. DNA-based identification of spider mites: molecular evidence for cryptic species of the genus </w:t>
      </w:r>
      <w:r w:rsidRPr="001E1601">
        <w:rPr>
          <w:i/>
          <w:iCs/>
          <w:lang w:val="en-GB"/>
        </w:rPr>
        <w:t>Tetranychus</w:t>
      </w:r>
      <w:r w:rsidRPr="001E1601">
        <w:rPr>
          <w:lang w:val="en-GB"/>
        </w:rPr>
        <w:t xml:space="preserve"> (Acari: Tetranychidae). </w:t>
      </w:r>
      <w:r w:rsidRPr="001E1601">
        <w:rPr>
          <w:i/>
          <w:iCs/>
          <w:lang w:val="en-GB"/>
        </w:rPr>
        <w:t>Journal of Economic Entomology</w:t>
      </w:r>
      <w:r w:rsidRPr="001E1601">
        <w:rPr>
          <w:lang w:val="en-GB"/>
        </w:rPr>
        <w:t>, 106(1): 463–472.</w:t>
      </w:r>
      <w:r w:rsidR="00EB3AD3" w:rsidRPr="001E1601">
        <w:rPr>
          <w:lang w:val="en-GB"/>
        </w:rPr>
        <w:t xml:space="preserve"> </w:t>
      </w:r>
      <w:hyperlink r:id="rId38" w:history="1">
        <w:r w:rsidR="00EB3AD3" w:rsidRPr="001E1601">
          <w:rPr>
            <w:rStyle w:val="Hyperlink"/>
            <w:lang w:val="en-GB"/>
          </w:rPr>
          <w:t>https://doi.org/10.1603/EC12328</w:t>
        </w:r>
      </w:hyperlink>
    </w:p>
    <w:p w14:paraId="491D039E" w14:textId="7777777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lastRenderedPageBreak/>
        <w:t>[260]</w:t>
      </w:r>
      <w:r w:rsidRPr="001E1601">
        <w:rPr>
          <w:b/>
          <w:bCs/>
          <w:lang w:val="en-GB"/>
        </w:rPr>
        <w:t xml:space="preserve">Mendonça, R.S., Navia, D., Diniz, I.R. &amp; Flechtmann, C.H.W. </w:t>
      </w:r>
      <w:r w:rsidRPr="001E1601">
        <w:rPr>
          <w:lang w:val="en-GB"/>
        </w:rPr>
        <w:t xml:space="preserve">2011. South American spider mites: new hosts and localities. </w:t>
      </w:r>
      <w:r w:rsidRPr="001E1601">
        <w:rPr>
          <w:i/>
          <w:iCs/>
          <w:lang w:val="en-GB"/>
        </w:rPr>
        <w:t>Journal of Insect Science</w:t>
      </w:r>
      <w:r w:rsidRPr="001E1601">
        <w:rPr>
          <w:lang w:val="en-GB"/>
        </w:rPr>
        <w:t xml:space="preserve">, 11: 121. </w:t>
      </w:r>
      <w:hyperlink r:id="rId39" w:history="1">
        <w:r w:rsidRPr="001E1601">
          <w:rPr>
            <w:rStyle w:val="Hyperlink"/>
            <w:lang w:val="en-GB"/>
          </w:rPr>
          <w:t>https://doi.org/10.1673/031.011.12101</w:t>
        </w:r>
      </w:hyperlink>
    </w:p>
    <w:p w14:paraId="491D039F" w14:textId="7777777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[261]</w:t>
      </w:r>
      <w:r w:rsidRPr="001E1601">
        <w:rPr>
          <w:b/>
          <w:bCs/>
          <w:lang w:val="en-GB"/>
        </w:rPr>
        <w:t xml:space="preserve">Meyer, M.K.P.S. </w:t>
      </w:r>
      <w:r w:rsidRPr="001E1601">
        <w:rPr>
          <w:lang w:val="en-GB"/>
        </w:rPr>
        <w:t xml:space="preserve">1987. </w:t>
      </w:r>
      <w:r w:rsidRPr="001E1601">
        <w:rPr>
          <w:i/>
          <w:iCs/>
          <w:lang w:val="en-GB"/>
        </w:rPr>
        <w:t>African Tetranychidae (Acari: Prostigmata): with reference to the world genera</w:t>
      </w:r>
      <w:r w:rsidRPr="001E1601">
        <w:rPr>
          <w:lang w:val="en-GB"/>
        </w:rPr>
        <w:t>. Pretoria, South Africa, Department of Agriculture and Water Supply. Entomology Memoir No. 69. 175 pp.</w:t>
      </w:r>
    </w:p>
    <w:p w14:paraId="491D03A0" w14:textId="0F356BEF" w:rsidR="00171C04" w:rsidRPr="001E1601" w:rsidRDefault="006B4FB1" w:rsidP="00596373">
      <w:pPr>
        <w:pStyle w:val="IPPParagraphnumbering"/>
        <w:tabs>
          <w:tab w:val="clear" w:pos="0"/>
        </w:tabs>
        <w:ind w:firstLine="0"/>
        <w:rPr>
          <w:rStyle w:val="Hyperlink"/>
          <w:lang w:val="en-GB"/>
        </w:rPr>
      </w:pPr>
      <w:r w:rsidRPr="001E1601">
        <w:rPr>
          <w:rStyle w:val="PleaseReviewParagraphId"/>
          <w:lang w:val="en-GB"/>
        </w:rPr>
        <w:t>[262]</w:t>
      </w:r>
      <w:r w:rsidRPr="001E1601">
        <w:rPr>
          <w:b/>
          <w:bCs/>
          <w:lang w:val="en-GB"/>
        </w:rPr>
        <w:t xml:space="preserve">Migeon, A. &amp; Dorkeld, F. </w:t>
      </w:r>
      <w:r w:rsidRPr="001E1601">
        <w:rPr>
          <w:lang w:val="en-GB"/>
        </w:rPr>
        <w:t xml:space="preserve">2021. </w:t>
      </w:r>
      <w:r w:rsidRPr="001E1601">
        <w:rPr>
          <w:i/>
          <w:iCs/>
          <w:lang w:val="en-GB"/>
        </w:rPr>
        <w:t>Spider mites web: a comprehensive database for the Tetranychidae</w:t>
      </w:r>
      <w:r w:rsidRPr="001E1601">
        <w:rPr>
          <w:lang w:val="en-GB"/>
        </w:rPr>
        <w:t xml:space="preserve">. Montpellier, France, Center for Biology for Population Management (CBGP). </w:t>
      </w:r>
      <w:r w:rsidR="00110FA7" w:rsidRPr="001E1601">
        <w:rPr>
          <w:lang w:val="en-GB"/>
        </w:rPr>
        <w:t>[</w:t>
      </w:r>
      <w:r w:rsidRPr="001E1601">
        <w:rPr>
          <w:lang w:val="en-GB"/>
        </w:rPr>
        <w:t>Cited 12 February 2021</w:t>
      </w:r>
      <w:r w:rsidR="00110FA7" w:rsidRPr="001E1601">
        <w:rPr>
          <w:lang w:val="en-GB"/>
        </w:rPr>
        <w:t>]</w:t>
      </w:r>
      <w:r w:rsidRPr="001E1601">
        <w:rPr>
          <w:lang w:val="en-GB"/>
        </w:rPr>
        <w:t xml:space="preserve">. </w:t>
      </w:r>
      <w:hyperlink r:id="rId40" w:history="1">
        <w:r w:rsidRPr="001E1601">
          <w:rPr>
            <w:rStyle w:val="Hyperlink"/>
            <w:lang w:val="en-GB"/>
          </w:rPr>
          <w:t>www1.montpellier.inra.fr/CBGP/spmweb</w:t>
        </w:r>
      </w:hyperlink>
    </w:p>
    <w:p w14:paraId="70B8DB89" w14:textId="77777777" w:rsidR="00125849" w:rsidRPr="001E1601" w:rsidRDefault="00125849" w:rsidP="00596373">
      <w:pPr>
        <w:pStyle w:val="IPPParagraphnumbering"/>
        <w:tabs>
          <w:tab w:val="clear" w:pos="0"/>
        </w:tabs>
        <w:ind w:firstLine="0"/>
        <w:rPr>
          <w:lang w:val="en-GB"/>
        </w:rPr>
      </w:pPr>
      <w:r w:rsidRPr="001E1601">
        <w:rPr>
          <w:rStyle w:val="PleaseReviewParagraphId"/>
          <w:lang w:val="en-GB"/>
        </w:rPr>
        <w:t>[245]</w:t>
      </w:r>
      <w:r w:rsidRPr="001E1601">
        <w:rPr>
          <w:b/>
          <w:bCs/>
          <w:lang w:val="en-GB"/>
        </w:rPr>
        <w:t xml:space="preserve">Moraes, G.J. &amp; Flechtmann, C.H.W. </w:t>
      </w:r>
      <w:r w:rsidRPr="001E1601">
        <w:rPr>
          <w:lang w:val="en-GB"/>
        </w:rPr>
        <w:t xml:space="preserve">2008. </w:t>
      </w:r>
      <w:r w:rsidRPr="001E1601">
        <w:rPr>
          <w:i/>
          <w:iCs/>
          <w:lang w:val="en-GB"/>
        </w:rPr>
        <w:t>Manual de Acarologia, Acarologia Básica e Ácaros de Plantas Cultivadas no Brasil</w:t>
      </w:r>
      <w:r w:rsidRPr="001E1601">
        <w:rPr>
          <w:lang w:val="en-GB"/>
        </w:rPr>
        <w:t>. Ribeirão Preto, Brazil, Holos Editora. 308 pp.</w:t>
      </w:r>
    </w:p>
    <w:p w14:paraId="7ECB02BD" w14:textId="7FF9B7CE" w:rsidR="00125849" w:rsidRPr="001E1601" w:rsidRDefault="00125849" w:rsidP="00596373">
      <w:pPr>
        <w:pStyle w:val="IPPParagraphnumbering"/>
        <w:tabs>
          <w:tab w:val="clear" w:pos="0"/>
        </w:tabs>
        <w:ind w:firstLine="0"/>
        <w:rPr>
          <w:lang w:val="en-GB"/>
        </w:rPr>
      </w:pPr>
      <w:r w:rsidRPr="001E1601">
        <w:rPr>
          <w:rStyle w:val="PleaseReviewParagraphId"/>
          <w:lang w:val="en-GB"/>
        </w:rPr>
        <w:t>[246]</w:t>
      </w:r>
      <w:r w:rsidRPr="001E1601">
        <w:rPr>
          <w:b/>
          <w:bCs/>
          <w:lang w:val="en-GB"/>
        </w:rPr>
        <w:t xml:space="preserve">Moraes, G.J., Moreira, A.N. &amp; Delalibera Jr, I. </w:t>
      </w:r>
      <w:r w:rsidRPr="001E1601">
        <w:rPr>
          <w:lang w:val="en-GB"/>
        </w:rPr>
        <w:t xml:space="preserve">1995. Growth of the mite </w:t>
      </w:r>
      <w:r w:rsidRPr="001E1601">
        <w:rPr>
          <w:i/>
          <w:iCs/>
          <w:lang w:val="en-GB"/>
        </w:rPr>
        <w:t>Mononychellus tanajoa</w:t>
      </w:r>
      <w:r w:rsidRPr="001E1601">
        <w:rPr>
          <w:lang w:val="en-GB"/>
        </w:rPr>
        <w:t xml:space="preserve"> (Acari: Tetranychidae) on alternative plant hosts in northeastern Brazil. </w:t>
      </w:r>
      <w:r w:rsidRPr="001E1601">
        <w:rPr>
          <w:i/>
          <w:iCs/>
          <w:lang w:val="en-GB"/>
        </w:rPr>
        <w:t>Florida Entomologist</w:t>
      </w:r>
      <w:r w:rsidRPr="001E1601">
        <w:rPr>
          <w:lang w:val="en-GB"/>
        </w:rPr>
        <w:t>, 78: 350–354.</w:t>
      </w:r>
      <w:r w:rsidR="00D33E3D" w:rsidRPr="001E1601">
        <w:rPr>
          <w:lang w:val="en-GB"/>
        </w:rPr>
        <w:t xml:space="preserve"> </w:t>
      </w:r>
      <w:hyperlink r:id="rId41" w:history="1">
        <w:r w:rsidR="00D33E3D" w:rsidRPr="001E1601">
          <w:rPr>
            <w:rStyle w:val="Hyperlink"/>
            <w:lang w:val="en-GB"/>
          </w:rPr>
          <w:t>https://journals.flvc.org/flaent/article/view/59134</w:t>
        </w:r>
      </w:hyperlink>
    </w:p>
    <w:p w14:paraId="491D03A1" w14:textId="50875634" w:rsidR="00171C04" w:rsidRPr="001E1601" w:rsidRDefault="006B4FB1" w:rsidP="00596373">
      <w:pPr>
        <w:pStyle w:val="IPPParagraphnumbering"/>
        <w:tabs>
          <w:tab w:val="clear" w:pos="0"/>
        </w:tabs>
        <w:ind w:firstLine="0"/>
        <w:rPr>
          <w:lang w:val="en-GB"/>
        </w:rPr>
      </w:pPr>
      <w:r w:rsidRPr="001E1601">
        <w:rPr>
          <w:rStyle w:val="PleaseReviewParagraphId"/>
          <w:lang w:val="en-GB"/>
        </w:rPr>
        <w:t>[263]</w:t>
      </w:r>
      <w:bookmarkStart w:id="85" w:name="_Hlk72339979"/>
      <w:r w:rsidRPr="001E1601">
        <w:rPr>
          <w:b/>
          <w:bCs/>
          <w:lang w:val="en-GB"/>
        </w:rPr>
        <w:t>Mutisya</w:t>
      </w:r>
      <w:bookmarkEnd w:id="85"/>
      <w:r w:rsidRPr="001E1601">
        <w:rPr>
          <w:b/>
          <w:bCs/>
          <w:lang w:val="en-GB"/>
        </w:rPr>
        <w:t xml:space="preserve">, D.L., El-Banhawy, E.S.M., Vicente dos Santos, V., Kariuki, C.W., Khamala, C.P.M. &amp; Tixier, M.-S. </w:t>
      </w:r>
      <w:r w:rsidRPr="001E1601">
        <w:rPr>
          <w:lang w:val="en-GB"/>
        </w:rPr>
        <w:t xml:space="preserve">2017. Predatory phytoseiid mites associated with cassava in Kenya, identification key and molecular diagnosis (Acari: Phytoseiidae). </w:t>
      </w:r>
      <w:r w:rsidRPr="001E1601">
        <w:rPr>
          <w:i/>
          <w:iCs/>
          <w:lang w:val="en-GB"/>
        </w:rPr>
        <w:t>Acarologia</w:t>
      </w:r>
      <w:r w:rsidRPr="001E1601">
        <w:rPr>
          <w:lang w:val="en-GB"/>
        </w:rPr>
        <w:t>, 5: 541–554.</w:t>
      </w:r>
      <w:r w:rsidR="009F02B7" w:rsidRPr="001E1601">
        <w:rPr>
          <w:lang w:val="en-GB"/>
        </w:rPr>
        <w:t xml:space="preserve"> </w:t>
      </w:r>
      <w:hyperlink r:id="rId42" w:tgtFrame="_blank" w:history="1">
        <w:r w:rsidR="009F02B7" w:rsidRPr="001E1601">
          <w:rPr>
            <w:rStyle w:val="Hyperlink"/>
            <w:lang w:val="en-GB"/>
          </w:rPr>
          <w:t>https://doi.org/10.24349/acarologia/20174172</w:t>
        </w:r>
      </w:hyperlink>
    </w:p>
    <w:p w14:paraId="491D03A2" w14:textId="0873B9AB" w:rsidR="00171C04" w:rsidRPr="001E1601" w:rsidRDefault="006B4FB1" w:rsidP="00596373">
      <w:pPr>
        <w:pStyle w:val="IPPParagraphnumbering"/>
        <w:tabs>
          <w:tab w:val="clear" w:pos="0"/>
        </w:tabs>
        <w:ind w:firstLine="0"/>
        <w:rPr>
          <w:lang w:val="en-GB"/>
        </w:rPr>
      </w:pPr>
      <w:r w:rsidRPr="001E1601">
        <w:rPr>
          <w:rStyle w:val="PleaseReviewParagraphId"/>
          <w:lang w:val="en-GB"/>
        </w:rPr>
        <w:t>[264]</w:t>
      </w:r>
      <w:r w:rsidRPr="001E1601">
        <w:rPr>
          <w:b/>
          <w:bCs/>
          <w:lang w:val="en-GB"/>
        </w:rPr>
        <w:t xml:space="preserve">Nachman, G, Skovgård, H., Tomkiewicz, J., Münster-Swendsen, M. &amp; Pedersen, O.C. </w:t>
      </w:r>
      <w:r w:rsidRPr="001E1601">
        <w:rPr>
          <w:lang w:val="en-GB"/>
        </w:rPr>
        <w:t>1993. Sampling strategies for assessing the overall density of the cassava green mite (</w:t>
      </w:r>
      <w:r w:rsidRPr="001E1601">
        <w:rPr>
          <w:i/>
          <w:iCs/>
          <w:lang w:val="en-GB"/>
        </w:rPr>
        <w:t>Mononychellus tanajoa</w:t>
      </w:r>
      <w:r w:rsidRPr="001E1601">
        <w:rPr>
          <w:lang w:val="en-GB"/>
        </w:rPr>
        <w:t xml:space="preserve">). </w:t>
      </w:r>
      <w:r w:rsidRPr="001E1601">
        <w:rPr>
          <w:i/>
          <w:iCs/>
          <w:lang w:val="en-GB"/>
        </w:rPr>
        <w:t>Experimental and Applied Acarology</w:t>
      </w:r>
      <w:r w:rsidRPr="001E1601">
        <w:rPr>
          <w:lang w:val="en-GB"/>
        </w:rPr>
        <w:t>, 17: 5–28.</w:t>
      </w:r>
      <w:r w:rsidR="00A06F40" w:rsidRPr="001E1601">
        <w:rPr>
          <w:lang w:val="en-GB"/>
        </w:rPr>
        <w:t xml:space="preserve"> </w:t>
      </w:r>
      <w:hyperlink r:id="rId43" w:history="1">
        <w:r w:rsidR="00E75CD5" w:rsidRPr="001E1601">
          <w:rPr>
            <w:rStyle w:val="Hyperlink"/>
            <w:lang w:val="en-GB"/>
          </w:rPr>
          <w:t>https://link.springer.com/article/10.1007/BF00156941</w:t>
        </w:r>
      </w:hyperlink>
    </w:p>
    <w:p w14:paraId="491D03A3" w14:textId="61B19C4A" w:rsidR="00171C04" w:rsidRPr="001E1601" w:rsidRDefault="006B4FB1" w:rsidP="00596373">
      <w:pPr>
        <w:pStyle w:val="IPPParagraphnumbering"/>
        <w:tabs>
          <w:tab w:val="clear" w:pos="0"/>
        </w:tabs>
        <w:ind w:firstLine="0"/>
        <w:rPr>
          <w:lang w:val="en-GB"/>
        </w:rPr>
      </w:pPr>
      <w:r w:rsidRPr="001E1601">
        <w:rPr>
          <w:rStyle w:val="PleaseReviewParagraphId"/>
          <w:lang w:val="en-GB"/>
        </w:rPr>
        <w:t>[265]</w:t>
      </w:r>
      <w:r w:rsidRPr="001E1601">
        <w:rPr>
          <w:b/>
          <w:bCs/>
          <w:lang w:val="en-GB"/>
        </w:rPr>
        <w:t xml:space="preserve">Navajas, M., Cotton, D., Kreiter, S. &amp; Gutierrez, J. </w:t>
      </w:r>
      <w:r w:rsidRPr="001E1601">
        <w:rPr>
          <w:lang w:val="en-GB"/>
        </w:rPr>
        <w:t xml:space="preserve">1992. Molecular approach in spider mites (Acari: Tetranychidae): preliminary data on ribosomal DNA sequences. </w:t>
      </w:r>
      <w:r w:rsidRPr="001E1601">
        <w:rPr>
          <w:i/>
          <w:iCs/>
          <w:lang w:val="en-GB"/>
        </w:rPr>
        <w:t>Experimental &amp; Applied Acarology</w:t>
      </w:r>
      <w:r w:rsidRPr="001E1601">
        <w:rPr>
          <w:lang w:val="en-GB"/>
        </w:rPr>
        <w:t>, 15: 211–218.</w:t>
      </w:r>
      <w:r w:rsidR="00E75CD5" w:rsidRPr="001E1601">
        <w:rPr>
          <w:lang w:val="en-GB"/>
        </w:rPr>
        <w:t xml:space="preserve"> </w:t>
      </w:r>
      <w:hyperlink r:id="rId44" w:history="1">
        <w:r w:rsidR="00E75CD5" w:rsidRPr="001E1601">
          <w:rPr>
            <w:rStyle w:val="Hyperlink"/>
            <w:lang w:val="en-GB"/>
          </w:rPr>
          <w:t>https://doi.org/10.1007/BF01246563</w:t>
        </w:r>
      </w:hyperlink>
    </w:p>
    <w:p w14:paraId="491D03A4" w14:textId="383C69E4"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[266]</w:t>
      </w:r>
      <w:r w:rsidRPr="001E1601">
        <w:rPr>
          <w:b/>
          <w:bCs/>
          <w:lang w:val="en-GB"/>
        </w:rPr>
        <w:t xml:space="preserve">Navajas, M., Lagnel, J., Gutierrez, J. &amp; Boursot, P. </w:t>
      </w:r>
      <w:r w:rsidRPr="001E1601">
        <w:rPr>
          <w:lang w:val="en-GB"/>
        </w:rPr>
        <w:t xml:space="preserve">1998. Species-wide homogeneity of nuclear ribosomal ITS2 sequences in the spider mite </w:t>
      </w:r>
      <w:r w:rsidRPr="001E1601">
        <w:rPr>
          <w:i/>
          <w:iCs/>
          <w:lang w:val="en-GB"/>
        </w:rPr>
        <w:t>Tetranychus urticae</w:t>
      </w:r>
      <w:r w:rsidRPr="001E1601">
        <w:rPr>
          <w:lang w:val="en-GB"/>
        </w:rPr>
        <w:t xml:space="preserve"> contrasts with extensive mitochondrial </w:t>
      </w:r>
      <w:r w:rsidRPr="001E1601">
        <w:rPr>
          <w:i/>
          <w:iCs/>
          <w:lang w:val="en-GB"/>
        </w:rPr>
        <w:t>COI</w:t>
      </w:r>
      <w:r w:rsidRPr="001E1601">
        <w:rPr>
          <w:lang w:val="en-GB"/>
        </w:rPr>
        <w:t xml:space="preserve"> polymorphism. </w:t>
      </w:r>
      <w:r w:rsidRPr="001E1601">
        <w:rPr>
          <w:i/>
          <w:iCs/>
          <w:lang w:val="en-GB"/>
        </w:rPr>
        <w:t>Heredity</w:t>
      </w:r>
      <w:r w:rsidRPr="001E1601">
        <w:rPr>
          <w:lang w:val="en-GB"/>
        </w:rPr>
        <w:t>, 80: 742–752.</w:t>
      </w:r>
      <w:r w:rsidR="002135EF" w:rsidRPr="001E1601">
        <w:rPr>
          <w:lang w:val="en-GB"/>
        </w:rPr>
        <w:t xml:space="preserve"> </w:t>
      </w:r>
      <w:hyperlink r:id="rId45" w:history="1">
        <w:r w:rsidR="002135EF" w:rsidRPr="001E1601">
          <w:rPr>
            <w:rStyle w:val="Hyperlink"/>
            <w:lang w:val="en-GB"/>
          </w:rPr>
          <w:t>https://doi.org/10.1046/j.1365-2540.1998.00349.x</w:t>
        </w:r>
      </w:hyperlink>
    </w:p>
    <w:p w14:paraId="491D03A5" w14:textId="415A4BDA" w:rsidR="00171C04" w:rsidRPr="001E1601" w:rsidRDefault="006B4FB1" w:rsidP="00596373">
      <w:pPr>
        <w:pStyle w:val="IPPParagraphnumbering"/>
        <w:tabs>
          <w:tab w:val="clear" w:pos="0"/>
        </w:tabs>
        <w:ind w:firstLine="0"/>
        <w:rPr>
          <w:lang w:val="en-GB"/>
        </w:rPr>
      </w:pPr>
      <w:r w:rsidRPr="001E1601">
        <w:rPr>
          <w:rStyle w:val="PleaseReviewParagraphId"/>
          <w:lang w:val="en-GB"/>
        </w:rPr>
        <w:t>[267]</w:t>
      </w:r>
      <w:r w:rsidRPr="001E1601">
        <w:rPr>
          <w:b/>
          <w:bCs/>
          <w:lang w:val="en-GB"/>
        </w:rPr>
        <w:t xml:space="preserve">Navajas, M., Tsagkarakou, A., Lagnel, J. &amp; Perrot-Minnot, M.-J. </w:t>
      </w:r>
      <w:r w:rsidRPr="001E1601">
        <w:rPr>
          <w:lang w:val="en-GB"/>
        </w:rPr>
        <w:t xml:space="preserve">2000. Genetic differentiation in </w:t>
      </w:r>
      <w:r w:rsidRPr="001E1601">
        <w:rPr>
          <w:i/>
          <w:iCs/>
          <w:lang w:val="en-GB"/>
        </w:rPr>
        <w:t>Tetranychus urticae</w:t>
      </w:r>
      <w:r w:rsidRPr="001E1601">
        <w:rPr>
          <w:lang w:val="en-GB"/>
        </w:rPr>
        <w:t xml:space="preserve"> (Acari: Tetranychidae): polymorphism, host races or sibling species? </w:t>
      </w:r>
      <w:r w:rsidRPr="001E1601">
        <w:rPr>
          <w:i/>
          <w:iCs/>
          <w:lang w:val="en-GB"/>
        </w:rPr>
        <w:t>Experimental &amp; Applied Acarology</w:t>
      </w:r>
      <w:r w:rsidRPr="001E1601">
        <w:rPr>
          <w:lang w:val="en-GB"/>
        </w:rPr>
        <w:t>, 24: 365–376.</w:t>
      </w:r>
      <w:r w:rsidR="00DD5D2F" w:rsidRPr="001E1601">
        <w:rPr>
          <w:lang w:val="en-GB"/>
        </w:rPr>
        <w:t xml:space="preserve"> </w:t>
      </w:r>
      <w:hyperlink r:id="rId46" w:history="1">
        <w:r w:rsidR="00DD5D2F" w:rsidRPr="001E1601">
          <w:rPr>
            <w:rStyle w:val="Hyperlink"/>
            <w:lang w:val="en-GB"/>
          </w:rPr>
          <w:t>https://doi.org/10.1023/A:1006432604611</w:t>
        </w:r>
      </w:hyperlink>
    </w:p>
    <w:p w14:paraId="491D03A6" w14:textId="5DDD4F30" w:rsidR="00171C04" w:rsidRPr="001E1601" w:rsidRDefault="006B4FB1" w:rsidP="00596373">
      <w:pPr>
        <w:pStyle w:val="IPPParagraphnumbering"/>
        <w:tabs>
          <w:tab w:val="clear" w:pos="0"/>
        </w:tabs>
        <w:ind w:firstLine="0"/>
        <w:rPr>
          <w:lang w:val="en-GB"/>
        </w:rPr>
      </w:pPr>
      <w:r w:rsidRPr="001E1601">
        <w:rPr>
          <w:rStyle w:val="PleaseReviewParagraphId"/>
          <w:lang w:val="en-GB"/>
        </w:rPr>
        <w:t>[268]</w:t>
      </w:r>
      <w:r w:rsidRPr="001E1601">
        <w:rPr>
          <w:b/>
          <w:bCs/>
          <w:lang w:val="en-GB"/>
        </w:rPr>
        <w:t xml:space="preserve">Onzo, A., Hanna, R., Sabelis, M.W. &amp; Yaninek, J.S. </w:t>
      </w:r>
      <w:r w:rsidRPr="001E1601">
        <w:rPr>
          <w:lang w:val="en-GB"/>
        </w:rPr>
        <w:t xml:space="preserve">2005. Temporal and spatial dynamics of an exotic predatory mite and its herbivorous mite prey on cassava in Benin, West Africa. </w:t>
      </w:r>
      <w:r w:rsidRPr="001E1601">
        <w:rPr>
          <w:i/>
          <w:iCs/>
          <w:lang w:val="en-GB"/>
        </w:rPr>
        <w:t>Environmental Entomology</w:t>
      </w:r>
      <w:r w:rsidRPr="001E1601">
        <w:rPr>
          <w:lang w:val="en-GB"/>
        </w:rPr>
        <w:t>, 34(4): 866–874.</w:t>
      </w:r>
      <w:r w:rsidR="004831C1" w:rsidRPr="001E1601">
        <w:rPr>
          <w:lang w:val="en-GB"/>
        </w:rPr>
        <w:t xml:space="preserve"> </w:t>
      </w:r>
      <w:hyperlink r:id="rId47" w:history="1">
        <w:r w:rsidR="004831C1" w:rsidRPr="001E1601">
          <w:rPr>
            <w:rStyle w:val="Hyperlink"/>
            <w:lang w:val="en-GB"/>
          </w:rPr>
          <w:t>https://doi.org/10.1603/0046-225X-34.4.866</w:t>
        </w:r>
      </w:hyperlink>
    </w:p>
    <w:p w14:paraId="491D03A7" w14:textId="3245FFB9" w:rsidR="00171C04" w:rsidRPr="001E1601" w:rsidRDefault="006B4FB1" w:rsidP="00596373">
      <w:pPr>
        <w:pStyle w:val="IPPParagraphnumbering"/>
        <w:tabs>
          <w:tab w:val="clear" w:pos="0"/>
        </w:tabs>
        <w:ind w:firstLine="0"/>
        <w:rPr>
          <w:lang w:val="en-GB"/>
        </w:rPr>
      </w:pPr>
      <w:r w:rsidRPr="001E1601">
        <w:rPr>
          <w:rStyle w:val="PleaseReviewParagraphId"/>
          <w:lang w:val="en-GB"/>
        </w:rPr>
        <w:t>[269]</w:t>
      </w:r>
      <w:r w:rsidRPr="001E1601">
        <w:rPr>
          <w:b/>
          <w:bCs/>
          <w:lang w:val="en-GB"/>
        </w:rPr>
        <w:t>Ovalle, T.M., Vásquez</w:t>
      </w:r>
      <w:r w:rsidRPr="001E1601">
        <w:rPr>
          <w:b/>
          <w:bCs/>
          <w:lang w:val="en-GB"/>
        </w:rPr>
        <w:noBreakHyphen/>
        <w:t>Ordóñez, A.A., Jimenez, J., Parsa, S., Cuellar, W.J. &amp; Lopez</w:t>
      </w:r>
      <w:r w:rsidRPr="001E1601">
        <w:rPr>
          <w:b/>
          <w:bCs/>
          <w:lang w:val="en-GB"/>
        </w:rPr>
        <w:noBreakHyphen/>
        <w:t xml:space="preserve">Lavalle, L.A.B. </w:t>
      </w:r>
      <w:r w:rsidRPr="001E1601">
        <w:rPr>
          <w:lang w:val="en-GB"/>
        </w:rPr>
        <w:t>2020. A simple PCR</w:t>
      </w:r>
      <w:r w:rsidRPr="001E1601">
        <w:rPr>
          <w:lang w:val="en-GB"/>
        </w:rPr>
        <w:noBreakHyphen/>
        <w:t xml:space="preserve">based method for the rapid and accurate identification of spider mites (Tetranychidae) on cassava. </w:t>
      </w:r>
      <w:r w:rsidRPr="001E1601">
        <w:rPr>
          <w:i/>
          <w:iCs/>
          <w:lang w:val="en-GB"/>
        </w:rPr>
        <w:t>Scientific Reports</w:t>
      </w:r>
      <w:r w:rsidRPr="001E1601">
        <w:rPr>
          <w:lang w:val="en-GB"/>
        </w:rPr>
        <w:t xml:space="preserve">, 10: 19496. </w:t>
      </w:r>
      <w:hyperlink r:id="rId48" w:history="1">
        <w:r w:rsidR="00157819" w:rsidRPr="001E1601">
          <w:rPr>
            <w:rStyle w:val="Hyperlink"/>
            <w:lang w:val="en-GB"/>
          </w:rPr>
          <w:t>https://doi.org/10.1038/s41598-020-75743-w</w:t>
        </w:r>
      </w:hyperlink>
    </w:p>
    <w:p w14:paraId="491D03A8" w14:textId="344ABD42" w:rsidR="00171C04" w:rsidRPr="001E1601" w:rsidRDefault="006B4FB1" w:rsidP="00596373">
      <w:pPr>
        <w:pStyle w:val="IPPParagraphnumbering"/>
        <w:tabs>
          <w:tab w:val="clear" w:pos="0"/>
        </w:tabs>
        <w:ind w:firstLine="0"/>
        <w:rPr>
          <w:lang w:val="en-GB"/>
        </w:rPr>
      </w:pPr>
      <w:r w:rsidRPr="001E1601">
        <w:rPr>
          <w:rStyle w:val="PleaseReviewParagraphId"/>
          <w:lang w:val="en-GB"/>
        </w:rPr>
        <w:t>[270]</w:t>
      </w:r>
      <w:r w:rsidRPr="001E1601">
        <w:rPr>
          <w:b/>
          <w:bCs/>
          <w:lang w:val="en-GB"/>
        </w:rPr>
        <w:t>Porter, T.M. &amp; Hajibabaei, M.</w:t>
      </w:r>
      <w:r w:rsidRPr="001E1601">
        <w:rPr>
          <w:lang w:val="en-GB"/>
        </w:rPr>
        <w:t xml:space="preserve"> 2020. Putting </w:t>
      </w:r>
      <w:r w:rsidRPr="001E1601">
        <w:rPr>
          <w:i/>
          <w:iCs/>
          <w:lang w:val="en-GB"/>
        </w:rPr>
        <w:t>COI</w:t>
      </w:r>
      <w:r w:rsidRPr="001E1601">
        <w:rPr>
          <w:lang w:val="en-GB"/>
        </w:rPr>
        <w:t xml:space="preserve"> </w:t>
      </w:r>
      <w:r w:rsidR="008B52BD" w:rsidRPr="001E1601">
        <w:rPr>
          <w:lang w:val="en-GB"/>
        </w:rPr>
        <w:t>m</w:t>
      </w:r>
      <w:r w:rsidRPr="001E1601">
        <w:rPr>
          <w:lang w:val="en-GB"/>
        </w:rPr>
        <w:t xml:space="preserve">etabarcoding in context: the utility of exact sequence variants (ESVs) in biodiversity analysis. </w:t>
      </w:r>
      <w:r w:rsidRPr="001E1601">
        <w:rPr>
          <w:i/>
          <w:iCs/>
          <w:lang w:val="en-GB"/>
        </w:rPr>
        <w:t>Frontiers in Ecology and Evolution</w:t>
      </w:r>
      <w:r w:rsidRPr="001E1601">
        <w:rPr>
          <w:lang w:val="en-GB"/>
        </w:rPr>
        <w:t xml:space="preserve">, 8: 248. </w:t>
      </w:r>
      <w:hyperlink r:id="rId49" w:history="1">
        <w:r w:rsidRPr="001E1601">
          <w:rPr>
            <w:rStyle w:val="Hyperlink"/>
            <w:lang w:val="en-GB"/>
          </w:rPr>
          <w:t>https://doi.org/10.3389/fevo.2020.00248</w:t>
        </w:r>
      </w:hyperlink>
    </w:p>
    <w:p w14:paraId="491D03A9" w14:textId="1DE939AA"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[271]</w:t>
      </w:r>
      <w:r w:rsidRPr="001E1601">
        <w:rPr>
          <w:b/>
          <w:bCs/>
          <w:lang w:val="en-GB"/>
        </w:rPr>
        <w:t xml:space="preserve">Ros, V.I.D. &amp; Breeuwer, J.A.J. </w:t>
      </w:r>
      <w:r w:rsidRPr="001E1601">
        <w:rPr>
          <w:lang w:val="en-GB"/>
        </w:rPr>
        <w:t xml:space="preserve">2007. Spider mite (Acari: Tetranychidae) mitochondrial </w:t>
      </w:r>
      <w:r w:rsidRPr="001E1601">
        <w:rPr>
          <w:i/>
          <w:iCs/>
          <w:lang w:val="en-GB"/>
        </w:rPr>
        <w:t xml:space="preserve">COI </w:t>
      </w:r>
      <w:r w:rsidRPr="001E1601">
        <w:rPr>
          <w:lang w:val="en-GB"/>
        </w:rPr>
        <w:t xml:space="preserve">phylogeny reviewed: host plant relationships, phylogeography, reproductive parasites and barcoding. </w:t>
      </w:r>
      <w:r w:rsidRPr="001E1601">
        <w:rPr>
          <w:i/>
          <w:iCs/>
          <w:lang w:val="en-GB"/>
        </w:rPr>
        <w:t>Experimental and Applied Acarology</w:t>
      </w:r>
      <w:r w:rsidRPr="001E1601">
        <w:rPr>
          <w:lang w:val="en-GB"/>
        </w:rPr>
        <w:t>, 42(4): 239–262.</w:t>
      </w:r>
      <w:r w:rsidR="00F36612" w:rsidRPr="001E1601">
        <w:rPr>
          <w:lang w:val="en-GB"/>
        </w:rPr>
        <w:t xml:space="preserve"> </w:t>
      </w:r>
      <w:hyperlink r:id="rId50" w:history="1">
        <w:r w:rsidR="00F36612" w:rsidRPr="001E1601">
          <w:rPr>
            <w:rStyle w:val="Hyperlink"/>
            <w:lang w:val="en-GB"/>
          </w:rPr>
          <w:t>https://doi.org/10.1007/s10493-007-9092-z</w:t>
        </w:r>
      </w:hyperlink>
    </w:p>
    <w:p w14:paraId="491D03AA"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lastRenderedPageBreak/>
        <w:t>[272]</w:t>
      </w:r>
      <w:r w:rsidRPr="001E1601">
        <w:rPr>
          <w:b/>
          <w:bCs/>
          <w:lang w:val="en-GB"/>
        </w:rPr>
        <w:t xml:space="preserve">Rossi Simons, N.H. </w:t>
      </w:r>
      <w:r w:rsidRPr="001E1601">
        <w:rPr>
          <w:lang w:val="en-GB"/>
        </w:rPr>
        <w:t xml:space="preserve">1961. Lista de las especies de Tetranychidae (Acari) de la República Argentina. </w:t>
      </w:r>
      <w:r w:rsidRPr="001E1601">
        <w:rPr>
          <w:i/>
          <w:iCs/>
          <w:lang w:val="en-GB"/>
        </w:rPr>
        <w:t>Idia</w:t>
      </w:r>
      <w:r w:rsidRPr="001E1601">
        <w:rPr>
          <w:lang w:val="en-GB"/>
        </w:rPr>
        <w:t>, 163: 9–13.</w:t>
      </w:r>
    </w:p>
    <w:p w14:paraId="491D03AB"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[273]</w:t>
      </w:r>
      <w:r w:rsidRPr="001E1601">
        <w:rPr>
          <w:b/>
          <w:bCs/>
          <w:lang w:val="en-GB"/>
        </w:rPr>
        <w:t xml:space="preserve">Shukla, P.T. </w:t>
      </w:r>
      <w:r w:rsidRPr="001E1601">
        <w:rPr>
          <w:lang w:val="en-GB"/>
        </w:rPr>
        <w:t>1976. Preliminary report on the green mite (</w:t>
      </w:r>
      <w:r w:rsidRPr="001E1601">
        <w:rPr>
          <w:i/>
          <w:lang w:val="en-GB"/>
        </w:rPr>
        <w:t>Mononychellus tanajoa</w:t>
      </w:r>
      <w:r w:rsidRPr="001E1601">
        <w:rPr>
          <w:lang w:val="en-GB"/>
        </w:rPr>
        <w:t xml:space="preserve">, Bonder) resistance in Tanzanian local cassava varieties. </w:t>
      </w:r>
      <w:r w:rsidRPr="001E1601">
        <w:rPr>
          <w:i/>
          <w:lang w:val="en-GB"/>
        </w:rPr>
        <w:t>East African Agricultural and Forestry Journal</w:t>
      </w:r>
      <w:r w:rsidRPr="001E1601">
        <w:rPr>
          <w:lang w:val="en-GB"/>
        </w:rPr>
        <w:t>, 42(1): 55–59.</w:t>
      </w:r>
    </w:p>
    <w:p w14:paraId="491D03AC" w14:textId="3EBDEA5D" w:rsidR="00171C04" w:rsidRPr="001E1601" w:rsidRDefault="006B4FB1" w:rsidP="009B2BD3">
      <w:pPr>
        <w:pStyle w:val="IPPParagraphnumbering"/>
        <w:tabs>
          <w:tab w:val="clear" w:pos="0"/>
        </w:tabs>
        <w:ind w:firstLine="0"/>
        <w:rPr>
          <w:lang w:val="en-GB"/>
        </w:rPr>
      </w:pPr>
      <w:r w:rsidRPr="001E1601">
        <w:rPr>
          <w:rStyle w:val="PleaseReviewParagraphId"/>
          <w:lang w:val="en-GB"/>
        </w:rPr>
        <w:t>[274]</w:t>
      </w:r>
      <w:bookmarkStart w:id="86" w:name="_Hlk100644131"/>
      <w:r w:rsidRPr="001E1601">
        <w:rPr>
          <w:b/>
          <w:bCs/>
          <w:lang w:val="en-GB"/>
        </w:rPr>
        <w:t>Smith, M.A., Fisher, B.L. &amp; Hebert, P.D.N.</w:t>
      </w:r>
      <w:r w:rsidRPr="001E1601">
        <w:rPr>
          <w:lang w:val="en-GB"/>
        </w:rPr>
        <w:t xml:space="preserve"> 2005. DNA barcoding for effective biodiversity assessment of a hyperdiverse arthropod group: the ants of Madagascar. </w:t>
      </w:r>
      <w:r w:rsidRPr="001E1601">
        <w:rPr>
          <w:i/>
          <w:iCs/>
          <w:lang w:val="en-GB"/>
        </w:rPr>
        <w:t>Philosophical Transactions of the Royal Society B</w:t>
      </w:r>
      <w:r w:rsidRPr="001E1601">
        <w:rPr>
          <w:lang w:val="en-GB"/>
        </w:rPr>
        <w:t>, 360: 1825–1834.</w:t>
      </w:r>
      <w:r w:rsidR="00403374" w:rsidRPr="001E1601">
        <w:rPr>
          <w:lang w:val="en-GB"/>
        </w:rPr>
        <w:t xml:space="preserve"> </w:t>
      </w:r>
      <w:hyperlink r:id="rId51" w:history="1">
        <w:r w:rsidR="00403374" w:rsidRPr="001E1601">
          <w:rPr>
            <w:rStyle w:val="Hyperlink"/>
            <w:lang w:val="en-GB"/>
          </w:rPr>
          <w:t>https://doi.org/10.1098/rstb.2005.1714</w:t>
        </w:r>
      </w:hyperlink>
    </w:p>
    <w:bookmarkEnd w:id="86"/>
    <w:p w14:paraId="491D03AD" w14:textId="0B8D74A8"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[275]</w:t>
      </w:r>
      <w:r w:rsidRPr="001E1601">
        <w:rPr>
          <w:b/>
          <w:bCs/>
          <w:lang w:val="en-GB"/>
        </w:rPr>
        <w:t xml:space="preserve">Vásquez-Ordóñez, A.A. &amp; Parsa, S. </w:t>
      </w:r>
      <w:r w:rsidRPr="001E1601">
        <w:rPr>
          <w:lang w:val="en-GB"/>
        </w:rPr>
        <w:t xml:space="preserve">2014. A geographic distribution database of </w:t>
      </w:r>
      <w:r w:rsidRPr="001E1601">
        <w:rPr>
          <w:i/>
          <w:iCs/>
          <w:lang w:val="en-GB"/>
        </w:rPr>
        <w:t>Mononychellus</w:t>
      </w:r>
      <w:r w:rsidRPr="001E1601">
        <w:rPr>
          <w:lang w:val="en-GB"/>
        </w:rPr>
        <w:t xml:space="preserve"> mites (Acari, Tetranychidae) on cassava (</w:t>
      </w:r>
      <w:r w:rsidRPr="001E1601">
        <w:rPr>
          <w:i/>
          <w:iCs/>
          <w:lang w:val="en-GB"/>
        </w:rPr>
        <w:t>Manihot esculenta</w:t>
      </w:r>
      <w:r w:rsidRPr="001E1601">
        <w:rPr>
          <w:lang w:val="en-GB"/>
        </w:rPr>
        <w:t xml:space="preserve">). </w:t>
      </w:r>
      <w:r w:rsidRPr="001E1601">
        <w:rPr>
          <w:i/>
          <w:iCs/>
          <w:lang w:val="en-GB"/>
        </w:rPr>
        <w:t>ZooKeys</w:t>
      </w:r>
      <w:r w:rsidRPr="001E1601">
        <w:rPr>
          <w:lang w:val="en-GB"/>
        </w:rPr>
        <w:t>, 407: 1–8.</w:t>
      </w:r>
      <w:r w:rsidRPr="001E1601">
        <w:rPr>
          <w:b/>
          <w:bCs/>
          <w:lang w:val="en-GB"/>
        </w:rPr>
        <w:t xml:space="preserve"> </w:t>
      </w:r>
      <w:hyperlink r:id="rId52" w:history="1">
        <w:r w:rsidR="00403374" w:rsidRPr="001E1601">
          <w:rPr>
            <w:rStyle w:val="Hyperlink"/>
            <w:lang w:val="en-GB"/>
          </w:rPr>
          <w:t>https://doi.org/10.3897/zookeys.407.7564</w:t>
        </w:r>
      </w:hyperlink>
    </w:p>
    <w:p w14:paraId="491D03AE" w14:textId="7777777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[276]</w:t>
      </w:r>
      <w:r w:rsidRPr="001E1601">
        <w:rPr>
          <w:b/>
          <w:bCs/>
          <w:lang w:val="en-GB"/>
        </w:rPr>
        <w:t xml:space="preserve">Veiga, A.F.S.L. </w:t>
      </w:r>
      <w:r w:rsidRPr="001E1601">
        <w:rPr>
          <w:lang w:val="en-GB"/>
        </w:rPr>
        <w:t xml:space="preserve">1985. </w:t>
      </w:r>
      <w:r w:rsidRPr="001E1601">
        <w:rPr>
          <w:i/>
          <w:iCs/>
          <w:lang w:val="en-GB"/>
        </w:rPr>
        <w:t xml:space="preserve">Aspectos bioecológicos e alternativas de controle do ácaro verde da mandioca </w:t>
      </w:r>
      <w:r w:rsidRPr="001E1601">
        <w:rPr>
          <w:lang w:val="en-GB"/>
        </w:rPr>
        <w:t>Mononychellus tanajoa</w:t>
      </w:r>
      <w:r w:rsidRPr="001E1601">
        <w:rPr>
          <w:i/>
          <w:iCs/>
          <w:lang w:val="en-GB"/>
        </w:rPr>
        <w:t xml:space="preserve"> (Bondar, 1938) (Acarina: Tetranychidae) no Estado de Pernambuco</w:t>
      </w:r>
      <w:r w:rsidRPr="001E1601">
        <w:rPr>
          <w:lang w:val="en-GB"/>
        </w:rPr>
        <w:t xml:space="preserve">. Escola Superior de Agricultura Luiz de Queiroz/Universidade de </w:t>
      </w:r>
      <w:r w:rsidRPr="001E1601">
        <w:rPr>
          <w:bCs/>
          <w:lang w:val="en-GB"/>
        </w:rPr>
        <w:t>São Paulo</w:t>
      </w:r>
      <w:r w:rsidRPr="001E1601">
        <w:rPr>
          <w:lang w:val="en-GB"/>
        </w:rPr>
        <w:t xml:space="preserve"> (</w:t>
      </w:r>
      <w:r w:rsidRPr="001E1601">
        <w:rPr>
          <w:bCs/>
          <w:lang w:val="en-GB"/>
        </w:rPr>
        <w:t>ESALQ/USP)</w:t>
      </w:r>
      <w:r w:rsidRPr="001E1601">
        <w:rPr>
          <w:lang w:val="en-GB"/>
        </w:rPr>
        <w:t xml:space="preserve">, Piracicaba, </w:t>
      </w:r>
      <w:r w:rsidRPr="001E1601">
        <w:rPr>
          <w:bCs/>
          <w:lang w:val="en-GB"/>
        </w:rPr>
        <w:t>São Paulo, Brazil.</w:t>
      </w:r>
      <w:r w:rsidRPr="001E1601">
        <w:rPr>
          <w:lang w:val="en-GB"/>
        </w:rPr>
        <w:t xml:space="preserve"> PhD thesis. 137 pp.</w:t>
      </w:r>
    </w:p>
    <w:p w14:paraId="491D03AF"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[277]</w:t>
      </w:r>
      <w:r w:rsidRPr="001E1601">
        <w:rPr>
          <w:b/>
          <w:bCs/>
          <w:lang w:val="en-GB"/>
        </w:rPr>
        <w:t xml:space="preserve">Walter, D.E. &amp; Krantz, G.W. </w:t>
      </w:r>
      <w:r w:rsidRPr="001E1601">
        <w:rPr>
          <w:lang w:val="en-GB"/>
        </w:rPr>
        <w:t xml:space="preserve">2009. Collection, rearing, and preparing specimens. In: G.W. Krantz &amp; D.E. Walter, eds. </w:t>
      </w:r>
      <w:r w:rsidRPr="001E1601">
        <w:rPr>
          <w:i/>
          <w:iCs/>
          <w:lang w:val="en-GB"/>
        </w:rPr>
        <w:t>A manual of acarology</w:t>
      </w:r>
      <w:r w:rsidRPr="001E1601">
        <w:rPr>
          <w:lang w:val="en-GB"/>
        </w:rPr>
        <w:t>,</w:t>
      </w:r>
      <w:r w:rsidRPr="001E1601">
        <w:rPr>
          <w:i/>
          <w:iCs/>
          <w:lang w:val="en-GB"/>
        </w:rPr>
        <w:t xml:space="preserve"> </w:t>
      </w:r>
      <w:r w:rsidRPr="001E1601">
        <w:rPr>
          <w:lang w:val="en-GB"/>
        </w:rPr>
        <w:t>3rd edition, pp. 83–96. Lubbock, USA, Texas Tech University Press.</w:t>
      </w:r>
    </w:p>
    <w:p w14:paraId="491D03B0"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[278]</w:t>
      </w:r>
      <w:r w:rsidRPr="001E1601">
        <w:rPr>
          <w:b/>
          <w:bCs/>
          <w:lang w:val="en-GB"/>
        </w:rPr>
        <w:t xml:space="preserve">Walter, D.E., Lindquist, E.E., Smith, I.M., Cook, D.R. &amp; Krantz, G.W. </w:t>
      </w:r>
      <w:r w:rsidRPr="001E1601">
        <w:rPr>
          <w:lang w:val="en-GB"/>
        </w:rPr>
        <w:t xml:space="preserve">2009. Order Trombidiformes. In: G.W. Krantz &amp; D.E. Walter, eds. </w:t>
      </w:r>
      <w:r w:rsidRPr="001E1601">
        <w:rPr>
          <w:i/>
          <w:iCs/>
          <w:lang w:val="en-GB"/>
        </w:rPr>
        <w:t>A manual of acarology</w:t>
      </w:r>
      <w:r w:rsidRPr="001E1601">
        <w:rPr>
          <w:lang w:val="en-GB"/>
        </w:rPr>
        <w:t>,</w:t>
      </w:r>
      <w:r w:rsidRPr="001E1601">
        <w:rPr>
          <w:i/>
          <w:iCs/>
          <w:lang w:val="en-GB"/>
        </w:rPr>
        <w:t xml:space="preserve"> </w:t>
      </w:r>
      <w:r w:rsidRPr="001E1601">
        <w:rPr>
          <w:lang w:val="en-GB"/>
        </w:rPr>
        <w:t>3rd edition, pp. 233–420. Lubbock, USA, Texas Tech University Press.</w:t>
      </w:r>
    </w:p>
    <w:p w14:paraId="491D03B1" w14:textId="53F22937" w:rsidR="00171C04" w:rsidRPr="001E1601" w:rsidRDefault="006B4FB1" w:rsidP="00596373">
      <w:pPr>
        <w:pStyle w:val="IPPParagraphnumbering"/>
        <w:tabs>
          <w:tab w:val="clear" w:pos="0"/>
        </w:tabs>
        <w:ind w:firstLine="0"/>
        <w:rPr>
          <w:b/>
          <w:bCs/>
          <w:lang w:val="en-GB"/>
        </w:rPr>
      </w:pPr>
      <w:r w:rsidRPr="001E1601">
        <w:rPr>
          <w:rStyle w:val="PleaseReviewParagraphId"/>
          <w:lang w:val="en-GB"/>
        </w:rPr>
        <w:t>[279]</w:t>
      </w:r>
      <w:r w:rsidRPr="001E1601">
        <w:rPr>
          <w:b/>
          <w:bCs/>
          <w:lang w:val="en-GB"/>
        </w:rPr>
        <w:t xml:space="preserve">Yaninek, J.S. </w:t>
      </w:r>
      <w:r w:rsidRPr="001E1601">
        <w:rPr>
          <w:lang w:val="en-GB"/>
        </w:rPr>
        <w:t xml:space="preserve">1988. Continental dispersal of the cassava green mite, an exotic pest in Africa, and implications for biological control. </w:t>
      </w:r>
      <w:r w:rsidRPr="001E1601">
        <w:rPr>
          <w:i/>
          <w:iCs/>
          <w:lang w:val="en-GB"/>
        </w:rPr>
        <w:t>Experimental and Applied Acarology</w:t>
      </w:r>
      <w:r w:rsidRPr="001E1601">
        <w:rPr>
          <w:lang w:val="en-GB"/>
        </w:rPr>
        <w:t>, 4: 211–224.</w:t>
      </w:r>
      <w:r w:rsidRPr="001E1601">
        <w:rPr>
          <w:b/>
          <w:bCs/>
          <w:lang w:val="en-GB"/>
        </w:rPr>
        <w:t xml:space="preserve"> </w:t>
      </w:r>
      <w:hyperlink r:id="rId53" w:history="1">
        <w:r w:rsidR="00B951F0" w:rsidRPr="001E1601">
          <w:rPr>
            <w:rStyle w:val="Hyperlink"/>
            <w:lang w:val="en-GB"/>
          </w:rPr>
          <w:t>https://doi.org/10.1007/BF01196187</w:t>
        </w:r>
      </w:hyperlink>
    </w:p>
    <w:p w14:paraId="491D03B2" w14:textId="77777777" w:rsidR="00171C04" w:rsidRPr="001E1601" w:rsidRDefault="006B4FB1" w:rsidP="00596373">
      <w:pPr>
        <w:pStyle w:val="IPPParagraphnumbering"/>
        <w:tabs>
          <w:tab w:val="clear" w:pos="0"/>
        </w:tabs>
        <w:ind w:firstLine="0"/>
        <w:rPr>
          <w:lang w:val="en-GB"/>
        </w:rPr>
      </w:pPr>
      <w:r w:rsidRPr="001E1601">
        <w:rPr>
          <w:rStyle w:val="PleaseReviewParagraphId"/>
          <w:lang w:val="en-GB"/>
        </w:rPr>
        <w:t>[280]</w:t>
      </w:r>
      <w:r w:rsidRPr="001E1601">
        <w:rPr>
          <w:b/>
          <w:bCs/>
          <w:lang w:val="en-GB"/>
        </w:rPr>
        <w:t xml:space="preserve">Yaninek, J.S., de Moraes, G.J. &amp; Markham, R.H. </w:t>
      </w:r>
      <w:r w:rsidRPr="001E1601">
        <w:rPr>
          <w:lang w:val="en-GB"/>
        </w:rPr>
        <w:t xml:space="preserve">1989. </w:t>
      </w:r>
      <w:r w:rsidRPr="001E1601">
        <w:rPr>
          <w:i/>
          <w:iCs/>
          <w:lang w:val="en-GB"/>
        </w:rPr>
        <w:t>Handbook on the cassava green mite (</w:t>
      </w:r>
      <w:r w:rsidRPr="001E1601">
        <w:rPr>
          <w:lang w:val="en-GB"/>
        </w:rPr>
        <w:t>Mononychellus tanajoa</w:t>
      </w:r>
      <w:r w:rsidRPr="001E1601">
        <w:rPr>
          <w:i/>
          <w:iCs/>
          <w:lang w:val="en-GB"/>
        </w:rPr>
        <w:t>) in Africa</w:t>
      </w:r>
      <w:r w:rsidRPr="001E1601">
        <w:rPr>
          <w:lang w:val="en-GB"/>
        </w:rPr>
        <w:t>. Ibadan, Nigeria, International Institute of Tropical Agriculture (IITA). 140 pp.</w:t>
      </w:r>
    </w:p>
    <w:p w14:paraId="491D03B4" w14:textId="504E39F6" w:rsidR="00171C04" w:rsidRPr="001E1601" w:rsidRDefault="006B4FB1" w:rsidP="00596373">
      <w:pPr>
        <w:pStyle w:val="IPPParagraphnumbering"/>
        <w:tabs>
          <w:tab w:val="clear" w:pos="0"/>
        </w:tabs>
        <w:ind w:firstLine="0"/>
        <w:rPr>
          <w:lang w:val="en-GB"/>
        </w:rPr>
      </w:pPr>
      <w:r w:rsidRPr="001E1601">
        <w:rPr>
          <w:rStyle w:val="PleaseReviewParagraphId"/>
          <w:lang w:val="en-GB"/>
        </w:rPr>
        <w:t>[282]</w:t>
      </w:r>
      <w:bookmarkStart w:id="87" w:name="_Hlk72340070"/>
      <w:r w:rsidRPr="001E1601">
        <w:rPr>
          <w:b/>
          <w:bCs/>
          <w:lang w:val="en-GB"/>
        </w:rPr>
        <w:t>Zannou</w:t>
      </w:r>
      <w:bookmarkEnd w:id="87"/>
      <w:r w:rsidRPr="001E1601">
        <w:rPr>
          <w:b/>
          <w:bCs/>
          <w:lang w:val="en-GB"/>
        </w:rPr>
        <w:t xml:space="preserve">, I.D., Hanna, R., de Moraes, G.J., Kreiter, S., Phiri, G. &amp; Jone, A. </w:t>
      </w:r>
      <w:r w:rsidRPr="001E1601">
        <w:rPr>
          <w:lang w:val="en-GB"/>
        </w:rPr>
        <w:t>2005. Mites of cassava (</w:t>
      </w:r>
      <w:r w:rsidRPr="001E1601">
        <w:rPr>
          <w:i/>
          <w:iCs/>
          <w:lang w:val="en-GB"/>
        </w:rPr>
        <w:t>Manihot esculenta</w:t>
      </w:r>
      <w:r w:rsidRPr="001E1601">
        <w:rPr>
          <w:lang w:val="en-GB"/>
        </w:rPr>
        <w:t xml:space="preserve"> Crantz) habitats in Southern Africa. </w:t>
      </w:r>
      <w:r w:rsidRPr="001E1601">
        <w:rPr>
          <w:i/>
          <w:iCs/>
          <w:lang w:val="en-GB"/>
        </w:rPr>
        <w:t>International Journal of Acarology</w:t>
      </w:r>
      <w:r w:rsidRPr="001E1601">
        <w:rPr>
          <w:lang w:val="en-GB"/>
        </w:rPr>
        <w:t>, 31(2): 149–164.</w:t>
      </w:r>
      <w:r w:rsidR="00477406" w:rsidRPr="001E1601">
        <w:rPr>
          <w:lang w:val="en-GB"/>
        </w:rPr>
        <w:t xml:space="preserve"> </w:t>
      </w:r>
      <w:hyperlink r:id="rId54" w:history="1">
        <w:r w:rsidR="00477406" w:rsidRPr="001E1601">
          <w:rPr>
            <w:rStyle w:val="Hyperlink"/>
            <w:lang w:val="en-GB"/>
          </w:rPr>
          <w:t>https://doi.org/10.1080/01647950508683667</w:t>
        </w:r>
      </w:hyperlink>
    </w:p>
    <w:p w14:paraId="491D03B5" w14:textId="5D4ABDD3" w:rsidR="00171C04" w:rsidRPr="001E1601" w:rsidRDefault="006B4FB1" w:rsidP="00596373">
      <w:pPr>
        <w:pStyle w:val="IPPParagraphnumbering"/>
        <w:tabs>
          <w:tab w:val="clear" w:pos="0"/>
        </w:tabs>
        <w:ind w:firstLine="0"/>
        <w:rPr>
          <w:lang w:val="en-GB"/>
        </w:rPr>
      </w:pPr>
      <w:r w:rsidRPr="001E1601">
        <w:rPr>
          <w:rStyle w:val="PleaseReviewParagraphId"/>
          <w:lang w:val="en-GB"/>
        </w:rPr>
        <w:t>[283]</w:t>
      </w:r>
      <w:r w:rsidRPr="001E1601">
        <w:rPr>
          <w:b/>
          <w:bCs/>
          <w:lang w:val="en-GB"/>
        </w:rPr>
        <w:t xml:space="preserve">Zélé, F., Weill, M. &amp; Magalhães, S. </w:t>
      </w:r>
      <w:r w:rsidRPr="001E1601">
        <w:rPr>
          <w:lang w:val="en-GB"/>
        </w:rPr>
        <w:t>2018. Identification of spider-mite species and their endosymbionts using multiplex PCR.</w:t>
      </w:r>
      <w:r w:rsidRPr="001E1601">
        <w:rPr>
          <w:i/>
          <w:iCs/>
          <w:lang w:val="en-GB"/>
        </w:rPr>
        <w:t xml:space="preserve"> Experimental and Applied Acarology</w:t>
      </w:r>
      <w:r w:rsidRPr="001E1601">
        <w:rPr>
          <w:lang w:val="en-GB"/>
        </w:rPr>
        <w:t>, 74(2): 123–138.</w:t>
      </w:r>
      <w:r w:rsidR="00644F30" w:rsidRPr="001E1601">
        <w:rPr>
          <w:lang w:val="en-GB"/>
        </w:rPr>
        <w:t xml:space="preserve"> </w:t>
      </w:r>
      <w:hyperlink r:id="rId55" w:history="1">
        <w:r w:rsidR="00644F30" w:rsidRPr="001E1601">
          <w:rPr>
            <w:rStyle w:val="Hyperlink"/>
            <w:lang w:val="en-GB"/>
          </w:rPr>
          <w:t>https://doi.org/10.1007/s10493-018-0224-4</w:t>
        </w:r>
      </w:hyperlink>
    </w:p>
    <w:p w14:paraId="371540CC" w14:textId="3BDF46B1" w:rsidR="006708EF" w:rsidRPr="001E1601" w:rsidRDefault="006708EF" w:rsidP="00F57BF6">
      <w:pPr>
        <w:pStyle w:val="IPPParagraphnumbering"/>
        <w:tabs>
          <w:tab w:val="clear" w:pos="0"/>
        </w:tabs>
        <w:suppressAutoHyphens/>
        <w:ind w:firstLine="0"/>
        <w:rPr>
          <w:b/>
          <w:bCs/>
          <w:lang w:val="en-GB"/>
        </w:rPr>
      </w:pPr>
      <w:bookmarkStart w:id="88" w:name="_Hlk63197467"/>
      <w:bookmarkStart w:id="89" w:name="_Hlk71104495"/>
      <w:bookmarkStart w:id="90" w:name="_Hlk71104513"/>
      <w:bookmarkStart w:id="91" w:name="_Hlk71104526"/>
      <w:bookmarkStart w:id="92" w:name="_Hlk71105410"/>
      <w:bookmarkStart w:id="93" w:name="_Hlk71105437"/>
      <w:bookmarkEnd w:id="88"/>
      <w:bookmarkEnd w:id="89"/>
      <w:bookmarkEnd w:id="90"/>
      <w:bookmarkEnd w:id="91"/>
      <w:bookmarkEnd w:id="92"/>
      <w:bookmarkEnd w:id="93"/>
    </w:p>
    <w:p w14:paraId="491D03D4" w14:textId="44E940F2" w:rsidR="00171C04" w:rsidRPr="001E1601" w:rsidRDefault="006B4FB1" w:rsidP="004E6E7A">
      <w:pPr>
        <w:pStyle w:val="IPPParagraphnumbering"/>
        <w:ind w:firstLine="0"/>
        <w:rPr>
          <w:lang w:val="en-GB"/>
        </w:rPr>
      </w:pPr>
      <w:bookmarkStart w:id="94" w:name="_Hlk71105452"/>
      <w:bookmarkStart w:id="95" w:name="_Hlk71105690"/>
      <w:bookmarkStart w:id="96" w:name="_Hlk71105703"/>
      <w:bookmarkStart w:id="97" w:name="_Hlk71105718"/>
      <w:bookmarkStart w:id="98" w:name="_Hlk71105725"/>
      <w:bookmarkEnd w:id="94"/>
      <w:bookmarkEnd w:id="95"/>
      <w:bookmarkEnd w:id="96"/>
      <w:bookmarkEnd w:id="97"/>
      <w:bookmarkEnd w:id="98"/>
      <w:r w:rsidRPr="001E1601">
        <w:rPr>
          <w:lang w:val="en-GB"/>
        </w:rPr>
        <w:br w:type="page"/>
      </w:r>
    </w:p>
    <w:p w14:paraId="3228B2D2" w14:textId="51D0B003" w:rsidR="00F65C91" w:rsidRPr="001E1601" w:rsidRDefault="003552BC" w:rsidP="003552BC">
      <w:pPr>
        <w:pStyle w:val="IPPHeading1"/>
      </w:pPr>
      <w:r w:rsidRPr="001E1601">
        <w:lastRenderedPageBreak/>
        <w:t>9.</w:t>
      </w:r>
      <w:r w:rsidRPr="001E1601">
        <w:tab/>
      </w:r>
      <w:r w:rsidR="00F65C91" w:rsidRPr="001E1601">
        <w:t>Figures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F65C91" w:rsidRPr="001E1601" w14:paraId="45402301" w14:textId="77777777" w:rsidTr="00584267">
        <w:tc>
          <w:tcPr>
            <w:tcW w:w="9071" w:type="dxa"/>
          </w:tcPr>
          <w:p w14:paraId="5E60DE61" w14:textId="77777777" w:rsidR="00F65C91" w:rsidRPr="001E1601" w:rsidRDefault="00F65C91" w:rsidP="00F57BF6">
            <w:pPr>
              <w:pStyle w:val="IPPParagraphnumbering"/>
              <w:tabs>
                <w:tab w:val="clear" w:pos="0"/>
              </w:tabs>
              <w:suppressAutoHyphens/>
              <w:spacing w:after="0"/>
              <w:ind w:firstLine="0"/>
              <w:rPr>
                <w:b/>
                <w:sz w:val="24"/>
                <w:lang w:val="en-GB"/>
              </w:rPr>
            </w:pPr>
            <w:r w:rsidRPr="001E1601">
              <w:rPr>
                <w:noProof/>
              </w:rPr>
              <w:drawing>
                <wp:inline distT="0" distB="0" distL="0" distR="0" wp14:anchorId="4D679188" wp14:editId="1946FD61">
                  <wp:extent cx="5783580" cy="4345717"/>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1.jpg"/>
                          <pic:cNvPicPr/>
                        </pic:nvPicPr>
                        <pic:blipFill>
                          <a:blip r:embed="rId56">
                            <a:extLst>
                              <a:ext uri="{28A0092B-C50C-407E-A947-70E740481C1C}">
                                <a14:useLocalDpi xmlns:a14="http://schemas.microsoft.com/office/drawing/2010/main" val="0"/>
                              </a:ext>
                            </a:extLst>
                          </a:blip>
                          <a:stretch>
                            <a:fillRect/>
                          </a:stretch>
                        </pic:blipFill>
                        <pic:spPr>
                          <a:xfrm>
                            <a:off x="0" y="0"/>
                            <a:ext cx="5788385" cy="4349327"/>
                          </a:xfrm>
                          <a:prstGeom prst="rect">
                            <a:avLst/>
                          </a:prstGeom>
                        </pic:spPr>
                      </pic:pic>
                    </a:graphicData>
                  </a:graphic>
                </wp:inline>
              </w:drawing>
            </w:r>
          </w:p>
        </w:tc>
      </w:tr>
      <w:tr w:rsidR="00F65C91" w:rsidRPr="001E1601" w14:paraId="6F25D9B2" w14:textId="77777777" w:rsidTr="00584267">
        <w:tc>
          <w:tcPr>
            <w:tcW w:w="9071" w:type="dxa"/>
          </w:tcPr>
          <w:p w14:paraId="488BA931" w14:textId="6FA930F2" w:rsidR="00F65C91" w:rsidRPr="001E1601" w:rsidRDefault="00F65C91" w:rsidP="00FD6A21">
            <w:pPr>
              <w:pStyle w:val="IPPArial"/>
              <w:spacing w:before="60"/>
            </w:pPr>
            <w:r w:rsidRPr="001E1601">
              <w:rPr>
                <w:b/>
              </w:rPr>
              <w:t xml:space="preserve">Figure 1. </w:t>
            </w:r>
            <w:r w:rsidRPr="001E1601">
              <w:t xml:space="preserve">Progression of </w:t>
            </w:r>
            <w:r w:rsidRPr="001E1601">
              <w:rPr>
                <w:i/>
              </w:rPr>
              <w:t xml:space="preserve">Mononychellus tanajoa </w:t>
            </w:r>
            <w:r w:rsidRPr="001E1601">
              <w:t xml:space="preserve">damage to cassava plant: </w:t>
            </w:r>
            <w:r w:rsidRPr="00584267">
              <w:rPr>
                <w:bCs/>
              </w:rPr>
              <w:t>(A)</w:t>
            </w:r>
            <w:r w:rsidRPr="001E1601">
              <w:t xml:space="preserve"> stippled leaves; </w:t>
            </w:r>
            <w:r w:rsidRPr="00584267">
              <w:rPr>
                <w:bCs/>
              </w:rPr>
              <w:t>(B)</w:t>
            </w:r>
            <w:r w:rsidRPr="001E1601">
              <w:t xml:space="preserve"> distorted leaves; </w:t>
            </w:r>
            <w:r w:rsidRPr="00584267">
              <w:rPr>
                <w:bCs/>
              </w:rPr>
              <w:t>(C)</w:t>
            </w:r>
            <w:r w:rsidRPr="001E1601">
              <w:t xml:space="preserve"> </w:t>
            </w:r>
            <w:r w:rsidR="009608A8">
              <w:t>chlorotic,</w:t>
            </w:r>
            <w:r w:rsidR="00726D29">
              <w:t xml:space="preserve"> </w:t>
            </w:r>
            <w:r w:rsidRPr="001E1601">
              <w:t xml:space="preserve">mottled leaves with considerable reduction in leaf size; </w:t>
            </w:r>
            <w:r w:rsidRPr="00584267">
              <w:rPr>
                <w:bCs/>
              </w:rPr>
              <w:t>(D)</w:t>
            </w:r>
            <w:r w:rsidRPr="001E1601">
              <w:t xml:space="preserve"> death and fall of upper shoot leaves giving a </w:t>
            </w:r>
            <w:r w:rsidR="003468D1" w:rsidRPr="001E1601">
              <w:t>“</w:t>
            </w:r>
            <w:r w:rsidRPr="001E1601">
              <w:t>candlestick</w:t>
            </w:r>
            <w:r w:rsidR="003468D1" w:rsidRPr="001E1601">
              <w:t>”</w:t>
            </w:r>
            <w:r w:rsidRPr="001E1601">
              <w:t xml:space="preserve"> appearance.</w:t>
            </w:r>
          </w:p>
          <w:p w14:paraId="30E68FBF" w14:textId="48C7B8D6" w:rsidR="00F65C91" w:rsidRPr="001E1601" w:rsidRDefault="00F65C91" w:rsidP="00A10AC2">
            <w:pPr>
              <w:pStyle w:val="IPPArialFootnote"/>
            </w:pPr>
            <w:r w:rsidRPr="001E1601">
              <w:rPr>
                <w:rStyle w:val="PleaseReviewParagraphId"/>
              </w:rPr>
              <w:t>[318]</w:t>
            </w:r>
            <w:r w:rsidRPr="00584267">
              <w:rPr>
                <w:i/>
                <w:iCs/>
              </w:rPr>
              <w:t>Source:</w:t>
            </w:r>
            <w:r w:rsidRPr="001E1601">
              <w:t xml:space="preserve"> R. Hanna, Center for Tropical Research, University of California, Los Angeles, U</w:t>
            </w:r>
            <w:r w:rsidR="00CB5299" w:rsidRPr="001E1601">
              <w:t xml:space="preserve">nited </w:t>
            </w:r>
            <w:r w:rsidRPr="001E1601">
              <w:t>S</w:t>
            </w:r>
            <w:r w:rsidR="00CB5299" w:rsidRPr="001E1601">
              <w:t xml:space="preserve">tates of </w:t>
            </w:r>
            <w:r w:rsidRPr="001E1601">
              <w:t>A</w:t>
            </w:r>
            <w:r w:rsidR="00CB5299" w:rsidRPr="001E1601">
              <w:t>merica</w:t>
            </w:r>
            <w:r w:rsidRPr="001E1601">
              <w:t>.</w:t>
            </w:r>
          </w:p>
          <w:p w14:paraId="18256F27" w14:textId="77777777" w:rsidR="00F65C91" w:rsidRPr="001E1601" w:rsidRDefault="00F65C91" w:rsidP="00F57BF6">
            <w:pPr>
              <w:pStyle w:val="IPPParagraphnumbering"/>
              <w:tabs>
                <w:tab w:val="clear" w:pos="0"/>
              </w:tabs>
              <w:suppressAutoHyphens/>
              <w:spacing w:after="0"/>
              <w:ind w:firstLine="0"/>
              <w:rPr>
                <w:b/>
                <w:sz w:val="24"/>
                <w:lang w:val="en-GB"/>
              </w:rPr>
            </w:pPr>
          </w:p>
        </w:tc>
      </w:tr>
      <w:tr w:rsidR="00F65C91" w:rsidRPr="001E1601" w14:paraId="77E3E0A3" w14:textId="77777777" w:rsidTr="00584267">
        <w:tc>
          <w:tcPr>
            <w:tcW w:w="9071" w:type="dxa"/>
          </w:tcPr>
          <w:p w14:paraId="1A1D7A27" w14:textId="77777777" w:rsidR="00F65C91" w:rsidRPr="001E1601" w:rsidRDefault="00F65C91" w:rsidP="00F57BF6">
            <w:pPr>
              <w:pStyle w:val="IPPParagraphnumbering"/>
              <w:tabs>
                <w:tab w:val="clear" w:pos="0"/>
              </w:tabs>
              <w:suppressAutoHyphens/>
              <w:spacing w:after="0"/>
              <w:ind w:firstLine="0"/>
              <w:rPr>
                <w:b/>
                <w:sz w:val="24"/>
                <w:lang w:val="en-GB"/>
              </w:rPr>
            </w:pPr>
            <w:r w:rsidRPr="001E1601">
              <w:rPr>
                <w:rStyle w:val="PleaseReviewParagraphId"/>
                <w:lang w:val="en-GB"/>
              </w:rPr>
              <w:t>[</w:t>
            </w:r>
            <w:r w:rsidRPr="001E1601">
              <w:rPr>
                <w:noProof/>
              </w:rPr>
              <w:drawing>
                <wp:inline distT="0" distB="0" distL="0" distR="0" wp14:anchorId="53732616" wp14:editId="03890E82">
                  <wp:extent cx="5844750" cy="206502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2.jpg"/>
                          <pic:cNvPicPr/>
                        </pic:nvPicPr>
                        <pic:blipFill>
                          <a:blip r:embed="rId57">
                            <a:extLst>
                              <a:ext uri="{28A0092B-C50C-407E-A947-70E740481C1C}">
                                <a14:useLocalDpi xmlns:a14="http://schemas.microsoft.com/office/drawing/2010/main" val="0"/>
                              </a:ext>
                            </a:extLst>
                          </a:blip>
                          <a:stretch>
                            <a:fillRect/>
                          </a:stretch>
                        </pic:blipFill>
                        <pic:spPr>
                          <a:xfrm>
                            <a:off x="0" y="0"/>
                            <a:ext cx="5846211" cy="2065536"/>
                          </a:xfrm>
                          <a:prstGeom prst="rect">
                            <a:avLst/>
                          </a:prstGeom>
                        </pic:spPr>
                      </pic:pic>
                    </a:graphicData>
                  </a:graphic>
                </wp:inline>
              </w:drawing>
            </w:r>
          </w:p>
        </w:tc>
      </w:tr>
      <w:tr w:rsidR="00F65C91" w:rsidRPr="001E1601" w14:paraId="21BABFC0" w14:textId="77777777" w:rsidTr="00584267">
        <w:tc>
          <w:tcPr>
            <w:tcW w:w="9071" w:type="dxa"/>
          </w:tcPr>
          <w:p w14:paraId="7C2DCF70" w14:textId="0656ED49" w:rsidR="00F65C91" w:rsidRPr="001E1601" w:rsidRDefault="00F65C91" w:rsidP="00FD6A21">
            <w:pPr>
              <w:pStyle w:val="IPPArial"/>
              <w:spacing w:before="60"/>
              <w:rPr>
                <w:i/>
              </w:rPr>
            </w:pPr>
            <w:r w:rsidRPr="001E1601">
              <w:rPr>
                <w:rStyle w:val="PleaseReviewParagraphId"/>
              </w:rPr>
              <w:t>[320]</w:t>
            </w:r>
            <w:r w:rsidRPr="001E1601">
              <w:rPr>
                <w:b/>
              </w:rPr>
              <w:t xml:space="preserve">Figure 2. </w:t>
            </w:r>
            <w:r w:rsidRPr="001E1601">
              <w:rPr>
                <w:i/>
              </w:rPr>
              <w:t xml:space="preserve">Mononychellus tanajoa </w:t>
            </w:r>
            <w:r w:rsidRPr="001E1601">
              <w:t xml:space="preserve">and its principal biocontrol agents: </w:t>
            </w:r>
            <w:r w:rsidRPr="00584267">
              <w:rPr>
                <w:bCs/>
              </w:rPr>
              <w:t>(A)</w:t>
            </w:r>
            <w:r w:rsidRPr="001E1601">
              <w:t xml:space="preserve"> adult and immature stages of </w:t>
            </w:r>
            <w:r w:rsidRPr="001E1601">
              <w:rPr>
                <w:i/>
              </w:rPr>
              <w:t>M.</w:t>
            </w:r>
            <w:r w:rsidR="00927D20" w:rsidRPr="001E1601">
              <w:rPr>
                <w:i/>
              </w:rPr>
              <w:t> </w:t>
            </w:r>
            <w:r w:rsidRPr="001E1601">
              <w:rPr>
                <w:i/>
              </w:rPr>
              <w:t>tanajoa</w:t>
            </w:r>
            <w:r w:rsidRPr="001E1601">
              <w:t xml:space="preserve">; </w:t>
            </w:r>
            <w:r w:rsidRPr="00584267">
              <w:rPr>
                <w:bCs/>
              </w:rPr>
              <w:t>(B)</w:t>
            </w:r>
            <w:r w:rsidRPr="001E1601">
              <w:t xml:space="preserve"> predatory mite </w:t>
            </w:r>
            <w:r w:rsidRPr="001E1601">
              <w:rPr>
                <w:i/>
              </w:rPr>
              <w:t>Typhlodromalus aripo</w:t>
            </w:r>
            <w:r w:rsidRPr="001E1601">
              <w:t xml:space="preserve">; </w:t>
            </w:r>
            <w:r w:rsidRPr="00584267">
              <w:rPr>
                <w:bCs/>
              </w:rPr>
              <w:t>(C)</w:t>
            </w:r>
            <w:r w:rsidRPr="001E1601">
              <w:t xml:space="preserve"> </w:t>
            </w:r>
            <w:r w:rsidRPr="001E1601">
              <w:rPr>
                <w:i/>
              </w:rPr>
              <w:t xml:space="preserve">Neozygites tanajaoe </w:t>
            </w:r>
            <w:r w:rsidRPr="001E1601">
              <w:t xml:space="preserve">infected </w:t>
            </w:r>
            <w:r w:rsidRPr="001E1601">
              <w:rPr>
                <w:i/>
              </w:rPr>
              <w:t>M.</w:t>
            </w:r>
            <w:r w:rsidR="00927D20" w:rsidRPr="001E1601">
              <w:rPr>
                <w:i/>
              </w:rPr>
              <w:t> </w:t>
            </w:r>
            <w:r w:rsidRPr="001E1601">
              <w:rPr>
                <w:i/>
              </w:rPr>
              <w:t>tanajoa.</w:t>
            </w:r>
          </w:p>
          <w:p w14:paraId="047BF034" w14:textId="1E299082" w:rsidR="00F65C91" w:rsidRPr="001E1601" w:rsidRDefault="00F65C91" w:rsidP="00A10AC2">
            <w:pPr>
              <w:pStyle w:val="IPPArialFootnote"/>
              <w:rPr>
                <w:b/>
                <w:sz w:val="24"/>
              </w:rPr>
            </w:pPr>
            <w:r w:rsidRPr="001E1601">
              <w:rPr>
                <w:rStyle w:val="PleaseReviewParagraphId"/>
              </w:rPr>
              <w:t>[321]</w:t>
            </w:r>
            <w:r w:rsidRPr="00584267">
              <w:rPr>
                <w:i/>
                <w:iCs/>
              </w:rPr>
              <w:t>Source:</w:t>
            </w:r>
            <w:r w:rsidRPr="001E1601">
              <w:t xml:space="preserve"> (A) J.S. Yaninek, (B &amp; C) G. Goergen, International Institute of Tropical Agriculture, Nigeria</w:t>
            </w:r>
            <w:r w:rsidR="00BF6710" w:rsidRPr="001E1601">
              <w:t>.</w:t>
            </w:r>
          </w:p>
        </w:tc>
      </w:tr>
      <w:tr w:rsidR="00F65C91" w:rsidRPr="001E1601" w14:paraId="0214D151" w14:textId="77777777" w:rsidTr="00584267">
        <w:tc>
          <w:tcPr>
            <w:tcW w:w="9071" w:type="dxa"/>
          </w:tcPr>
          <w:p w14:paraId="145AFFD2" w14:textId="77777777" w:rsidR="00F65C91" w:rsidRPr="001E1601" w:rsidRDefault="00F65C91">
            <w:pPr>
              <w:spacing w:line="244" w:lineRule="auto"/>
              <w:ind w:right="116"/>
              <w:rPr>
                <w:rFonts w:ascii="Arial" w:hAnsi="Arial" w:cs="Arial"/>
                <w:b/>
                <w:sz w:val="18"/>
                <w:szCs w:val="18"/>
              </w:rPr>
            </w:pPr>
            <w:r w:rsidRPr="001E1601">
              <w:rPr>
                <w:rStyle w:val="PleaseReviewParagraphId"/>
              </w:rPr>
              <w:lastRenderedPageBreak/>
              <w:t>[322]</w:t>
            </w:r>
            <w:r w:rsidRPr="001E1601">
              <w:rPr>
                <w:noProof/>
                <w:lang w:val="en-US"/>
              </w:rPr>
              <w:drawing>
                <wp:inline distT="0" distB="0" distL="0" distR="0" wp14:anchorId="3BFE5603" wp14:editId="27368131">
                  <wp:extent cx="5676900" cy="68608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 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79984" cy="6864528"/>
                          </a:xfrm>
                          <a:prstGeom prst="rect">
                            <a:avLst/>
                          </a:prstGeom>
                        </pic:spPr>
                      </pic:pic>
                    </a:graphicData>
                  </a:graphic>
                </wp:inline>
              </w:drawing>
            </w:r>
          </w:p>
        </w:tc>
      </w:tr>
      <w:tr w:rsidR="00F65C91" w:rsidRPr="001E1601" w14:paraId="3375A007" w14:textId="77777777" w:rsidTr="00584267">
        <w:tc>
          <w:tcPr>
            <w:tcW w:w="9071" w:type="dxa"/>
          </w:tcPr>
          <w:p w14:paraId="73AEC27A" w14:textId="77777777" w:rsidR="00F65C91" w:rsidRPr="001E1601" w:rsidRDefault="00F65C91">
            <w:pPr>
              <w:rPr>
                <w:rStyle w:val="PleaseReviewParagraphId"/>
              </w:rPr>
            </w:pPr>
          </w:p>
          <w:p w14:paraId="1267A90D" w14:textId="77777777" w:rsidR="00F65C91" w:rsidRPr="001E1601" w:rsidRDefault="00F65C91" w:rsidP="008235C3">
            <w:pPr>
              <w:pStyle w:val="IPPArial"/>
            </w:pPr>
            <w:r w:rsidRPr="001E1601">
              <w:rPr>
                <w:rStyle w:val="PleaseReviewParagraphId"/>
              </w:rPr>
              <w:t>323]</w:t>
            </w:r>
            <w:r w:rsidRPr="001E1601">
              <w:rPr>
                <w:b/>
              </w:rPr>
              <w:t xml:space="preserve">Figure 3. </w:t>
            </w:r>
            <w:r w:rsidRPr="001E1601">
              <w:rPr>
                <w:i/>
              </w:rPr>
              <w:t>Mononychellus tanajoa</w:t>
            </w:r>
            <w:r w:rsidRPr="001E1601">
              <w:t xml:space="preserve">, adult female: </w:t>
            </w:r>
            <w:r w:rsidRPr="00584267">
              <w:rPr>
                <w:bCs/>
              </w:rPr>
              <w:t>(A)</w:t>
            </w:r>
            <w:r w:rsidRPr="001E1601">
              <w:t xml:space="preserve"> dorsal view of idiosoma; </w:t>
            </w:r>
            <w:r w:rsidRPr="00584267">
              <w:rPr>
                <w:bCs/>
              </w:rPr>
              <w:t>(B)</w:t>
            </w:r>
            <w:r w:rsidRPr="001E1601">
              <w:rPr>
                <w:bCs/>
              </w:rPr>
              <w:t xml:space="preserve"> </w:t>
            </w:r>
            <w:r w:rsidRPr="001E1601">
              <w:t>genital and anal region.</w:t>
            </w:r>
          </w:p>
          <w:p w14:paraId="2E8280DC" w14:textId="537A8513" w:rsidR="008235C3" w:rsidRPr="001E1601" w:rsidRDefault="008235C3" w:rsidP="008235C3">
            <w:pPr>
              <w:pStyle w:val="IPPArialFootnote"/>
            </w:pPr>
            <w:r w:rsidRPr="001E1601">
              <w:rPr>
                <w:i/>
                <w:iCs/>
              </w:rPr>
              <w:t xml:space="preserve">Note: </w:t>
            </w:r>
            <w:r w:rsidRPr="001E1601">
              <w:t xml:space="preserve">For notation of structures, see Lindquist, E.E. 1985. Chapter 1.1 Anatomy, phylogeny and systematics. 1.1.1 External anatomy. In: W. Helle &amp; M.W. Sabelis, eds. </w:t>
            </w:r>
            <w:r w:rsidRPr="00584267">
              <w:rPr>
                <w:i/>
                <w:iCs/>
              </w:rPr>
              <w:t>Spider mites – Their biology, natural enemies and control</w:t>
            </w:r>
            <w:r w:rsidRPr="001E1601">
              <w:t xml:space="preserve">, </w:t>
            </w:r>
            <w:r w:rsidRPr="00584267">
              <w:rPr>
                <w:i/>
                <w:iCs/>
              </w:rPr>
              <w:t>Volume 1A</w:t>
            </w:r>
            <w:r w:rsidRPr="001E1601">
              <w:t>, pp. 3–28. Amsterdam, Elsevier.</w:t>
            </w:r>
          </w:p>
          <w:p w14:paraId="2DCD2354" w14:textId="1E4FFCDA" w:rsidR="00F65C91" w:rsidRPr="001E1601" w:rsidRDefault="00F65C91" w:rsidP="008235C3">
            <w:pPr>
              <w:pStyle w:val="IPPArialFootnote"/>
            </w:pPr>
            <w:r w:rsidRPr="001E1601">
              <w:rPr>
                <w:rStyle w:val="PleaseReviewParagraphId"/>
              </w:rPr>
              <w:t>[324]</w:t>
            </w:r>
            <w:r w:rsidRPr="00584267">
              <w:rPr>
                <w:i/>
                <w:iCs/>
              </w:rPr>
              <w:t xml:space="preserve">Source: </w:t>
            </w:r>
            <w:r w:rsidRPr="001E1601">
              <w:t>Q.-H. Fan, Plant Health &amp; Environment Laboratory, Biosecurity New Zealand, Ministry for Primary Industries, New Zealand and D. Navia, Institut National de Recherche pour l’Agriculture, l’Alimentation et l’Environnement, France.</w:t>
            </w:r>
          </w:p>
          <w:p w14:paraId="31D10B8F" w14:textId="77777777" w:rsidR="00F65C91" w:rsidRPr="001E1601" w:rsidRDefault="00F65C91">
            <w:pPr>
              <w:spacing w:line="244" w:lineRule="auto"/>
              <w:ind w:right="116"/>
              <w:rPr>
                <w:rFonts w:ascii="Arial" w:hAnsi="Arial"/>
                <w:i/>
                <w:iCs/>
                <w:sz w:val="18"/>
              </w:rPr>
            </w:pPr>
          </w:p>
          <w:p w14:paraId="30F42CE3" w14:textId="77777777" w:rsidR="00F65C91" w:rsidRPr="001E1601" w:rsidRDefault="00F65C91">
            <w:pPr>
              <w:spacing w:line="244" w:lineRule="auto"/>
              <w:ind w:right="116"/>
              <w:rPr>
                <w:rFonts w:ascii="Arial" w:hAnsi="Arial"/>
                <w:i/>
                <w:iCs/>
                <w:sz w:val="18"/>
              </w:rPr>
            </w:pPr>
          </w:p>
          <w:p w14:paraId="226ADD27" w14:textId="77777777" w:rsidR="00F65C91" w:rsidRPr="001E1601" w:rsidRDefault="00F65C91">
            <w:pPr>
              <w:spacing w:line="244" w:lineRule="auto"/>
              <w:ind w:right="116"/>
              <w:rPr>
                <w:rFonts w:ascii="Arial" w:hAnsi="Arial"/>
                <w:i/>
                <w:iCs/>
                <w:sz w:val="18"/>
              </w:rPr>
            </w:pPr>
          </w:p>
          <w:p w14:paraId="78B2EF17" w14:textId="77777777" w:rsidR="00F65C91" w:rsidRPr="001E1601" w:rsidRDefault="00F65C91">
            <w:pPr>
              <w:spacing w:line="244" w:lineRule="auto"/>
              <w:ind w:right="116"/>
              <w:rPr>
                <w:rFonts w:ascii="Arial" w:hAnsi="Arial"/>
                <w:i/>
                <w:iCs/>
                <w:sz w:val="18"/>
              </w:rPr>
            </w:pPr>
          </w:p>
          <w:p w14:paraId="038B41F7" w14:textId="77777777" w:rsidR="00F65C91" w:rsidRPr="001E1601" w:rsidRDefault="00F65C91">
            <w:pPr>
              <w:spacing w:line="244" w:lineRule="auto"/>
              <w:ind w:right="116"/>
              <w:rPr>
                <w:rFonts w:ascii="Arial" w:hAnsi="Arial"/>
                <w:i/>
                <w:iCs/>
                <w:sz w:val="18"/>
              </w:rPr>
            </w:pPr>
          </w:p>
          <w:p w14:paraId="106E56E8" w14:textId="77777777" w:rsidR="00F65C91" w:rsidRPr="001E1601" w:rsidRDefault="00F65C91">
            <w:pPr>
              <w:spacing w:line="244" w:lineRule="auto"/>
              <w:ind w:right="116"/>
              <w:rPr>
                <w:rFonts w:ascii="Arial" w:hAnsi="Arial"/>
                <w:i/>
                <w:iCs/>
                <w:sz w:val="18"/>
              </w:rPr>
            </w:pPr>
          </w:p>
          <w:p w14:paraId="7408C244" w14:textId="77777777" w:rsidR="00F65C91" w:rsidRPr="001E1601" w:rsidRDefault="00F65C91">
            <w:pPr>
              <w:spacing w:line="244" w:lineRule="auto"/>
              <w:ind w:right="116"/>
              <w:rPr>
                <w:rFonts w:ascii="Arial" w:hAnsi="Arial"/>
                <w:i/>
                <w:iCs/>
                <w:sz w:val="18"/>
              </w:rPr>
            </w:pPr>
          </w:p>
          <w:p w14:paraId="0F11AF8E" w14:textId="77777777" w:rsidR="00F65C91" w:rsidRPr="001E1601" w:rsidRDefault="00F65C91">
            <w:pPr>
              <w:spacing w:line="244" w:lineRule="auto"/>
              <w:ind w:right="116"/>
              <w:rPr>
                <w:rFonts w:ascii="Arial" w:hAnsi="Arial"/>
                <w:i/>
                <w:iCs/>
                <w:sz w:val="18"/>
              </w:rPr>
            </w:pPr>
            <w:r w:rsidRPr="001E1601">
              <w:rPr>
                <w:noProof/>
                <w:lang w:val="en-US"/>
              </w:rPr>
              <w:drawing>
                <wp:inline distT="0" distB="0" distL="0" distR="0" wp14:anchorId="7106EEF1" wp14:editId="764C13A4">
                  <wp:extent cx="5403215" cy="3394132"/>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403215" cy="3394132"/>
                          </a:xfrm>
                          <a:prstGeom prst="rect">
                            <a:avLst/>
                          </a:prstGeom>
                          <a:noFill/>
                          <a:ln>
                            <a:noFill/>
                          </a:ln>
                        </pic:spPr>
                      </pic:pic>
                    </a:graphicData>
                  </a:graphic>
                </wp:inline>
              </w:drawing>
            </w:r>
          </w:p>
          <w:p w14:paraId="34889003" w14:textId="77777777" w:rsidR="00F65C91" w:rsidRPr="001E1601" w:rsidRDefault="00F65C91">
            <w:pPr>
              <w:spacing w:line="244" w:lineRule="auto"/>
              <w:ind w:right="116"/>
              <w:rPr>
                <w:rFonts w:ascii="Arial" w:hAnsi="Arial"/>
                <w:i/>
                <w:iCs/>
                <w:sz w:val="18"/>
              </w:rPr>
            </w:pPr>
          </w:p>
          <w:p w14:paraId="76098A1E" w14:textId="61A6D06F" w:rsidR="00F65C91" w:rsidRPr="001E1601" w:rsidRDefault="00F65C91" w:rsidP="00735676">
            <w:pPr>
              <w:pStyle w:val="IPPArial"/>
            </w:pPr>
            <w:r w:rsidRPr="00584267">
              <w:rPr>
                <w:b/>
                <w:bCs/>
              </w:rPr>
              <w:t>Figure 4</w:t>
            </w:r>
            <w:r w:rsidR="00735676" w:rsidRPr="00584267">
              <w:rPr>
                <w:b/>
                <w:bCs/>
              </w:rPr>
              <w:t>.</w:t>
            </w:r>
            <w:r w:rsidRPr="001E1601">
              <w:t xml:space="preserve"> Stylophores and peritremes of adult females of </w:t>
            </w:r>
            <w:r w:rsidRPr="00584267">
              <w:rPr>
                <w:i/>
                <w:iCs/>
              </w:rPr>
              <w:t>Mononychellus</w:t>
            </w:r>
            <w:r w:rsidRPr="001E1601">
              <w:t xml:space="preserve"> spp. (A) </w:t>
            </w:r>
            <w:r w:rsidRPr="00584267">
              <w:rPr>
                <w:i/>
                <w:iCs/>
              </w:rPr>
              <w:t>M.</w:t>
            </w:r>
            <w:r w:rsidR="00735676" w:rsidRPr="00584267">
              <w:rPr>
                <w:i/>
                <w:iCs/>
              </w:rPr>
              <w:t> </w:t>
            </w:r>
            <w:r w:rsidRPr="00584267">
              <w:rPr>
                <w:i/>
                <w:iCs/>
              </w:rPr>
              <w:t>bondari</w:t>
            </w:r>
            <w:r w:rsidRPr="001E1601">
              <w:t xml:space="preserve">; (B) </w:t>
            </w:r>
            <w:r w:rsidRPr="00584267">
              <w:rPr>
                <w:i/>
                <w:iCs/>
              </w:rPr>
              <w:t>M.</w:t>
            </w:r>
            <w:r w:rsidR="00735676" w:rsidRPr="00584267">
              <w:rPr>
                <w:i/>
                <w:iCs/>
              </w:rPr>
              <w:t> </w:t>
            </w:r>
            <w:r w:rsidRPr="00584267">
              <w:rPr>
                <w:i/>
                <w:iCs/>
              </w:rPr>
              <w:t>caribbeanae</w:t>
            </w:r>
            <w:r w:rsidRPr="001E1601">
              <w:t xml:space="preserve">; (C) </w:t>
            </w:r>
            <w:r w:rsidRPr="00584267">
              <w:rPr>
                <w:i/>
                <w:iCs/>
              </w:rPr>
              <w:t>M.</w:t>
            </w:r>
            <w:r w:rsidR="00735676" w:rsidRPr="00584267">
              <w:rPr>
                <w:i/>
                <w:iCs/>
              </w:rPr>
              <w:t> </w:t>
            </w:r>
            <w:r w:rsidRPr="00584267">
              <w:rPr>
                <w:i/>
                <w:iCs/>
              </w:rPr>
              <w:t>chemosetosus</w:t>
            </w:r>
            <w:r w:rsidRPr="001E1601">
              <w:t xml:space="preserve">; (D) </w:t>
            </w:r>
            <w:r w:rsidRPr="00584267">
              <w:rPr>
                <w:i/>
                <w:iCs/>
              </w:rPr>
              <w:t>M.</w:t>
            </w:r>
            <w:r w:rsidR="00735676" w:rsidRPr="00584267">
              <w:rPr>
                <w:i/>
                <w:iCs/>
              </w:rPr>
              <w:t> </w:t>
            </w:r>
            <w:r w:rsidRPr="00584267">
              <w:rPr>
                <w:i/>
                <w:iCs/>
              </w:rPr>
              <w:t>mcgregori</w:t>
            </w:r>
            <w:r w:rsidRPr="001E1601">
              <w:t xml:space="preserve">; (E) </w:t>
            </w:r>
            <w:r w:rsidRPr="00584267">
              <w:rPr>
                <w:i/>
                <w:iCs/>
              </w:rPr>
              <w:t>M.</w:t>
            </w:r>
            <w:r w:rsidR="00735676" w:rsidRPr="00584267">
              <w:rPr>
                <w:i/>
                <w:iCs/>
              </w:rPr>
              <w:t> </w:t>
            </w:r>
            <w:r w:rsidRPr="00584267">
              <w:rPr>
                <w:i/>
                <w:iCs/>
              </w:rPr>
              <w:t>planki</w:t>
            </w:r>
            <w:r w:rsidRPr="001E1601">
              <w:t xml:space="preserve">; (F) </w:t>
            </w:r>
            <w:r w:rsidRPr="00584267">
              <w:rPr>
                <w:i/>
                <w:iCs/>
              </w:rPr>
              <w:t>M.</w:t>
            </w:r>
            <w:r w:rsidR="00735676" w:rsidRPr="00584267">
              <w:rPr>
                <w:i/>
                <w:iCs/>
              </w:rPr>
              <w:t> </w:t>
            </w:r>
            <w:r w:rsidRPr="00584267">
              <w:rPr>
                <w:i/>
                <w:iCs/>
              </w:rPr>
              <w:t>tanajoa</w:t>
            </w:r>
            <w:r w:rsidRPr="001E1601">
              <w:t>.</w:t>
            </w:r>
          </w:p>
          <w:p w14:paraId="6704A897" w14:textId="57971C6C" w:rsidR="00F65C91" w:rsidRPr="001E1601" w:rsidRDefault="00735676" w:rsidP="00735676">
            <w:pPr>
              <w:pStyle w:val="IPPArialFootnote"/>
            </w:pPr>
            <w:r w:rsidRPr="00584267">
              <w:rPr>
                <w:i/>
                <w:iCs/>
              </w:rPr>
              <w:t>Notes</w:t>
            </w:r>
            <w:r w:rsidR="00F65C91" w:rsidRPr="00584267">
              <w:rPr>
                <w:i/>
                <w:iCs/>
              </w:rPr>
              <w:t>:</w:t>
            </w:r>
            <w:r w:rsidR="00F65C91" w:rsidRPr="001E1601">
              <w:t xml:space="preserve"> mcd, movable cheliceral digit; pe, peritremes.</w:t>
            </w:r>
          </w:p>
          <w:p w14:paraId="38C4A743" w14:textId="5B2A3CDD" w:rsidR="00F65C91" w:rsidRPr="001E1601" w:rsidRDefault="00F65C91" w:rsidP="00A10AC2">
            <w:pPr>
              <w:pStyle w:val="IPPArialFootnote"/>
            </w:pPr>
            <w:r w:rsidRPr="00584267">
              <w:rPr>
                <w:i/>
                <w:iCs/>
              </w:rPr>
              <w:t>Source:</w:t>
            </w:r>
            <w:r w:rsidRPr="001E1601">
              <w:t xml:space="preserve"> D. Navia, Institut National de Recherche pour l’Agriculture, l’Alimentation et l’Environnement, France and Q.-H. Fan, Plant Health &amp; Environment Laboratory, Biosecurity New Zealand, Ministry for Primary Industries, New Zealand.</w:t>
            </w:r>
          </w:p>
          <w:p w14:paraId="0B360BF6" w14:textId="1BE814DB" w:rsidR="00F65C91" w:rsidRPr="001E1601" w:rsidRDefault="00CC5139">
            <w:pPr>
              <w:spacing w:line="244" w:lineRule="auto"/>
              <w:ind w:right="116"/>
              <w:rPr>
                <w:rFonts w:ascii="Arial" w:hAnsi="Arial" w:cs="Arial"/>
                <w:b/>
                <w:sz w:val="18"/>
                <w:szCs w:val="18"/>
              </w:rPr>
            </w:pPr>
            <w:r>
              <w:rPr>
                <w:sz w:val="22"/>
                <w:lang w:eastAsia="en-US"/>
              </w:rPr>
              <w:object w:dxaOrig="8160" w:dyaOrig="4425" w14:anchorId="7F5C88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23.45pt" o:ole="">
                  <v:imagedata r:id="rId60" o:title=""/>
                </v:shape>
                <o:OLEObject Type="Embed" ProgID="PBrush" ShapeID="_x0000_i1025" DrawAspect="Content" ObjectID="_1747229320" r:id="rId61"/>
              </w:object>
            </w:r>
          </w:p>
        </w:tc>
      </w:tr>
      <w:tr w:rsidR="00F65C91" w:rsidRPr="001E1601" w14:paraId="5F8A6870" w14:textId="77777777" w:rsidTr="00584267">
        <w:tc>
          <w:tcPr>
            <w:tcW w:w="9071" w:type="dxa"/>
          </w:tcPr>
          <w:p w14:paraId="42890735" w14:textId="77777777" w:rsidR="00F65C91" w:rsidRPr="001E1601" w:rsidRDefault="00F65C91">
            <w:pPr>
              <w:rPr>
                <w:rStyle w:val="PleaseReviewParagraphId"/>
              </w:rPr>
            </w:pPr>
          </w:p>
          <w:p w14:paraId="765F9C9A" w14:textId="7E6DDE1F" w:rsidR="004B0B62" w:rsidRPr="00584267" w:rsidRDefault="00F65C91" w:rsidP="00A10AC2">
            <w:pPr>
              <w:pStyle w:val="IPPArial"/>
            </w:pPr>
            <w:r w:rsidRPr="0021230C">
              <w:rPr>
                <w:rStyle w:val="PleaseReviewParagraphId"/>
              </w:rPr>
              <w:t>[333]</w:t>
            </w:r>
            <w:r w:rsidRPr="00584267">
              <w:rPr>
                <w:b/>
              </w:rPr>
              <w:t xml:space="preserve">Figure 5. </w:t>
            </w:r>
            <w:r w:rsidRPr="0021230C">
              <w:rPr>
                <w:i/>
              </w:rPr>
              <w:t>Mononychellus tanajoa</w:t>
            </w:r>
            <w:r w:rsidRPr="0021230C">
              <w:t xml:space="preserve">, adult female: </w:t>
            </w:r>
            <w:r w:rsidRPr="00584267">
              <w:rPr>
                <w:bCs/>
              </w:rPr>
              <w:t>(A)</w:t>
            </w:r>
            <w:r w:rsidRPr="0021230C">
              <w:rPr>
                <w:bCs/>
              </w:rPr>
              <w:t xml:space="preserve"> </w:t>
            </w:r>
            <w:r w:rsidRPr="0021230C">
              <w:t xml:space="preserve">dorsal view of stylophore and peritremes; </w:t>
            </w:r>
            <w:r w:rsidRPr="00584267">
              <w:rPr>
                <w:bCs/>
              </w:rPr>
              <w:t>(B)</w:t>
            </w:r>
            <w:r w:rsidRPr="0021230C">
              <w:t xml:space="preserve"> infracapitulum and palp</w:t>
            </w:r>
            <w:r w:rsidR="00AB0283" w:rsidRPr="00584267">
              <w:t>.</w:t>
            </w:r>
          </w:p>
          <w:p w14:paraId="1DE64DDA" w14:textId="20D587D9" w:rsidR="00F65C91" w:rsidRPr="00584267" w:rsidRDefault="004B0B62" w:rsidP="00492854">
            <w:pPr>
              <w:pStyle w:val="IPPArialFootnote"/>
            </w:pPr>
            <w:r w:rsidRPr="00584267">
              <w:rPr>
                <w:i/>
                <w:iCs/>
              </w:rPr>
              <w:t>Note</w:t>
            </w:r>
            <w:r w:rsidR="00A302D5" w:rsidRPr="00584267">
              <w:rPr>
                <w:i/>
                <w:iCs/>
              </w:rPr>
              <w:t>s</w:t>
            </w:r>
            <w:r w:rsidRPr="00584267">
              <w:rPr>
                <w:i/>
                <w:iCs/>
              </w:rPr>
              <w:t xml:space="preserve">: </w:t>
            </w:r>
            <w:r w:rsidR="00354113" w:rsidRPr="00584267">
              <w:rPr>
                <w:i/>
                <w:iCs/>
              </w:rPr>
              <w:t>For notation of structures, see Lindquist, E.E. 1985. Chapter 1.1 Anatomy, phylogeny and systematics. 1.1.1 External anatomy. In: W. Helle, W. &amp; M.W. Sabelis, eds. Spider Mites –. Their Biology, Natural Enemies and Control, Volume 1A, pp. 3–28. Amsterdam, Elsevier</w:t>
            </w:r>
            <w:r w:rsidR="009C16FD" w:rsidRPr="00584267">
              <w:t>; v</w:t>
            </w:r>
            <w:r w:rsidR="009C16FD" w:rsidRPr="00584267">
              <w:rPr>
                <w:vertAlign w:val="subscript"/>
              </w:rPr>
              <w:t>2</w:t>
            </w:r>
            <w:r w:rsidR="009C16FD" w:rsidRPr="0021230C">
              <w:t xml:space="preserve">, </w:t>
            </w:r>
            <w:r w:rsidR="00A86ABD" w:rsidRPr="00584267">
              <w:t>seta</w:t>
            </w:r>
            <w:r w:rsidRPr="0021230C">
              <w:t>.</w:t>
            </w:r>
            <w:r w:rsidR="00F65C91" w:rsidRPr="0021230C">
              <w:t xml:space="preserve"> </w:t>
            </w:r>
          </w:p>
          <w:p w14:paraId="2745769E" w14:textId="3AC95691" w:rsidR="00F65C91" w:rsidRPr="001E1601" w:rsidRDefault="00F65C91" w:rsidP="00A10AC2">
            <w:pPr>
              <w:pStyle w:val="IPPArialFootnote"/>
            </w:pPr>
            <w:r w:rsidRPr="00584267">
              <w:rPr>
                <w:rStyle w:val="PleaseReviewParagraphId"/>
              </w:rPr>
              <w:t>[334]</w:t>
            </w:r>
            <w:r w:rsidRPr="00584267">
              <w:rPr>
                <w:i/>
                <w:iCs/>
              </w:rPr>
              <w:t>Source:</w:t>
            </w:r>
            <w:r w:rsidRPr="0021230C">
              <w:t xml:space="preserve"> </w:t>
            </w:r>
            <w:r w:rsidRPr="00584267">
              <w:t>D. Navia, Institut National de Recherche pour l’Agriculture, l’Alimentation et l’Environnement, France and Q.-H. Fan, Plant Health &amp; Environment Laboratory, Biosecurity New Zealand, Ministry for Primary Industries, New Zealand</w:t>
            </w:r>
            <w:r w:rsidR="009C16FD" w:rsidRPr="00584267">
              <w:t>.</w:t>
            </w:r>
          </w:p>
          <w:p w14:paraId="2EE45DBF" w14:textId="3D93E97C" w:rsidR="00F65C91" w:rsidRPr="001E1601" w:rsidRDefault="00354113">
            <w:pPr>
              <w:rPr>
                <w:rFonts w:ascii="Arial" w:hAnsi="Arial"/>
                <w:i/>
                <w:iCs/>
                <w:sz w:val="18"/>
              </w:rPr>
            </w:pPr>
            <w:r>
              <w:rPr>
                <w:rFonts w:ascii="Arial" w:hAnsi="Arial"/>
                <w:i/>
                <w:iCs/>
                <w:sz w:val="18"/>
              </w:rPr>
              <w:lastRenderedPageBreak/>
              <w:t xml:space="preserve">. </w:t>
            </w:r>
          </w:p>
          <w:p w14:paraId="09ED33C5" w14:textId="77777777" w:rsidR="00F65C91" w:rsidRPr="001E1601" w:rsidRDefault="00F65C91">
            <w:pPr>
              <w:rPr>
                <w:rFonts w:ascii="Arial" w:hAnsi="Arial"/>
                <w:i/>
                <w:iCs/>
                <w:sz w:val="18"/>
              </w:rPr>
            </w:pPr>
          </w:p>
          <w:p w14:paraId="6BE7B5B3" w14:textId="77777777" w:rsidR="00F65C91" w:rsidRPr="001E1601" w:rsidRDefault="00F65C91">
            <w:pPr>
              <w:rPr>
                <w:rStyle w:val="PleaseReviewParagraphId"/>
              </w:rPr>
            </w:pPr>
            <w:r w:rsidRPr="001E1601">
              <w:rPr>
                <w:noProof/>
                <w:lang w:val="en-US"/>
              </w:rPr>
              <w:drawing>
                <wp:inline distT="0" distB="0" distL="0" distR="0" wp14:anchorId="3EFDCB65" wp14:editId="3B5C4C70">
                  <wp:extent cx="4035600" cy="5623200"/>
                  <wp:effectExtent l="19050" t="19050" r="22225" b="158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 7.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35600" cy="5623200"/>
                          </a:xfrm>
                          <a:prstGeom prst="rect">
                            <a:avLst/>
                          </a:prstGeom>
                          <a:ln>
                            <a:solidFill>
                              <a:schemeClr val="tx1"/>
                            </a:solidFill>
                          </a:ln>
                        </pic:spPr>
                      </pic:pic>
                    </a:graphicData>
                  </a:graphic>
                </wp:inline>
              </w:drawing>
            </w:r>
          </w:p>
          <w:p w14:paraId="33328984" w14:textId="77777777" w:rsidR="00F65C91" w:rsidRPr="001E1601" w:rsidRDefault="00F65C91">
            <w:pPr>
              <w:rPr>
                <w:rStyle w:val="PleaseReviewParagraphId"/>
              </w:rPr>
            </w:pPr>
          </w:p>
          <w:p w14:paraId="34D25F9A" w14:textId="39914107" w:rsidR="00F65C91" w:rsidRDefault="00F65C91" w:rsidP="00A10AC2">
            <w:pPr>
              <w:pStyle w:val="IPPArial"/>
            </w:pPr>
            <w:r w:rsidRPr="001E1601">
              <w:rPr>
                <w:rStyle w:val="PleaseReviewParagraphId"/>
              </w:rPr>
              <w:t>336]</w:t>
            </w:r>
            <w:r w:rsidRPr="001E1601">
              <w:rPr>
                <w:b/>
              </w:rPr>
              <w:t xml:space="preserve">Figure 6. </w:t>
            </w:r>
            <w:r w:rsidRPr="001E1601">
              <w:rPr>
                <w:i/>
              </w:rPr>
              <w:t>Mononychellus tanajoa</w:t>
            </w:r>
            <w:r w:rsidRPr="001E1601">
              <w:t xml:space="preserve">, adult female: </w:t>
            </w:r>
            <w:r w:rsidRPr="00584267">
              <w:rPr>
                <w:bCs/>
              </w:rPr>
              <w:t>(A)</w:t>
            </w:r>
            <w:r w:rsidRPr="001E1601">
              <w:rPr>
                <w:bCs/>
              </w:rPr>
              <w:t xml:space="preserve"> </w:t>
            </w:r>
            <w:r w:rsidRPr="001E1601">
              <w:t>tibia and tarsus</w:t>
            </w:r>
            <w:r w:rsidR="00E97B3C" w:rsidRPr="001E1601">
              <w:t> </w:t>
            </w:r>
            <w:r w:rsidRPr="001E1601">
              <w:t xml:space="preserve">I; </w:t>
            </w:r>
            <w:r w:rsidRPr="00584267">
              <w:rPr>
                <w:bCs/>
              </w:rPr>
              <w:t>(B)</w:t>
            </w:r>
            <w:r w:rsidRPr="001E1601">
              <w:rPr>
                <w:bCs/>
              </w:rPr>
              <w:t xml:space="preserve"> </w:t>
            </w:r>
            <w:r w:rsidRPr="001E1601">
              <w:t>tibia and tarsus</w:t>
            </w:r>
            <w:r w:rsidR="00E97B3C" w:rsidRPr="001E1601">
              <w:t> </w:t>
            </w:r>
            <w:r w:rsidRPr="001E1601">
              <w:t xml:space="preserve">II; </w:t>
            </w:r>
            <w:r w:rsidRPr="00584267">
              <w:rPr>
                <w:bCs/>
              </w:rPr>
              <w:t>(C)</w:t>
            </w:r>
            <w:r w:rsidRPr="001E1601">
              <w:t xml:space="preserve"> tibia and tarsus</w:t>
            </w:r>
            <w:r w:rsidR="00E97B3C" w:rsidRPr="001E1601">
              <w:t> </w:t>
            </w:r>
            <w:r w:rsidRPr="001E1601">
              <w:t xml:space="preserve">III; </w:t>
            </w:r>
            <w:r w:rsidRPr="00584267">
              <w:rPr>
                <w:bCs/>
              </w:rPr>
              <w:t>(D)</w:t>
            </w:r>
            <w:r w:rsidRPr="001E1601">
              <w:t xml:space="preserve"> tibia and tarsus</w:t>
            </w:r>
            <w:r w:rsidR="00E97B3C" w:rsidRPr="001E1601">
              <w:t> </w:t>
            </w:r>
            <w:r w:rsidRPr="001E1601">
              <w:t>IV.</w:t>
            </w:r>
          </w:p>
          <w:p w14:paraId="43D0390F" w14:textId="64C19A3E" w:rsidR="00DF4CE1" w:rsidRDefault="00DF4CE1" w:rsidP="00A10AC2">
            <w:pPr>
              <w:pStyle w:val="IPPArial"/>
            </w:pPr>
            <w:r w:rsidRPr="00DF4CE1">
              <w:t>Note: Vertical dotted line in (A) and (B) marks the division between the proximal and distal parts of the tarsus.</w:t>
            </w:r>
          </w:p>
          <w:p w14:paraId="05AA57D6" w14:textId="14787419" w:rsidR="00F65C91" w:rsidRPr="001E1601" w:rsidRDefault="00F65C91" w:rsidP="00A10AC2">
            <w:pPr>
              <w:pStyle w:val="IPPArialFootnote"/>
            </w:pPr>
            <w:r w:rsidRPr="001E1601">
              <w:rPr>
                <w:rStyle w:val="PleaseReviewParagraphId"/>
              </w:rPr>
              <w:t>[337]</w:t>
            </w:r>
            <w:r w:rsidRPr="00584267">
              <w:rPr>
                <w:i/>
                <w:iCs/>
              </w:rPr>
              <w:t>Source:</w:t>
            </w:r>
            <w:r w:rsidRPr="001E1601">
              <w:t xml:space="preserve"> Q.-H. Fan, Plant Health &amp; Environment Laboratory, Biosecurity New Zealand, Ministry for Primary Industries, New Zealand and D. Navia, Institut National de Recherche pour l’Agriculture, l’Alimentation et l’Environnement, France.</w:t>
            </w:r>
          </w:p>
          <w:p w14:paraId="72F86BC1" w14:textId="77777777" w:rsidR="00F65C91" w:rsidRPr="001E1601" w:rsidRDefault="00F65C91">
            <w:pPr>
              <w:rPr>
                <w:rFonts w:ascii="Arial" w:hAnsi="Arial" w:cs="Arial"/>
                <w:sz w:val="18"/>
                <w:szCs w:val="18"/>
              </w:rPr>
            </w:pPr>
          </w:p>
          <w:p w14:paraId="3F4AC21A" w14:textId="77777777" w:rsidR="00F65C91" w:rsidRPr="001E1601" w:rsidRDefault="00F65C91">
            <w:pPr>
              <w:rPr>
                <w:rFonts w:ascii="Arial" w:hAnsi="Arial" w:cs="Arial"/>
                <w:sz w:val="18"/>
                <w:szCs w:val="18"/>
              </w:rPr>
            </w:pPr>
          </w:p>
          <w:p w14:paraId="32052402" w14:textId="77777777" w:rsidR="00F65C91" w:rsidRPr="001E1601" w:rsidRDefault="00F65C91">
            <w:pPr>
              <w:rPr>
                <w:rFonts w:ascii="Arial" w:hAnsi="Arial"/>
                <w:sz w:val="18"/>
              </w:rPr>
            </w:pPr>
          </w:p>
          <w:p w14:paraId="0A431BEC" w14:textId="77777777" w:rsidR="00F65C91" w:rsidRPr="001E1601" w:rsidRDefault="00F65C91">
            <w:pPr>
              <w:rPr>
                <w:rFonts w:ascii="Arial" w:hAnsi="Arial"/>
                <w:sz w:val="18"/>
              </w:rPr>
            </w:pPr>
            <w:r w:rsidRPr="001E1601">
              <w:rPr>
                <w:noProof/>
                <w:lang w:val="en-US"/>
              </w:rPr>
              <w:lastRenderedPageBreak/>
              <w:drawing>
                <wp:inline distT="0" distB="0" distL="0" distR="0" wp14:anchorId="63F40C4B" wp14:editId="40375797">
                  <wp:extent cx="5592644" cy="3209180"/>
                  <wp:effectExtent l="19050" t="19050" r="27305" b="1079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06818" cy="3217313"/>
                          </a:xfrm>
                          <a:prstGeom prst="rect">
                            <a:avLst/>
                          </a:prstGeom>
                          <a:noFill/>
                          <a:ln>
                            <a:solidFill>
                              <a:schemeClr val="tx1"/>
                            </a:solidFill>
                          </a:ln>
                        </pic:spPr>
                      </pic:pic>
                    </a:graphicData>
                  </a:graphic>
                </wp:inline>
              </w:drawing>
            </w:r>
          </w:p>
          <w:p w14:paraId="4B92F33E" w14:textId="77777777" w:rsidR="00F65C91" w:rsidRPr="001E1601" w:rsidRDefault="00F65C91">
            <w:pPr>
              <w:rPr>
                <w:rStyle w:val="PleaseReviewParagraphId"/>
              </w:rPr>
            </w:pPr>
          </w:p>
        </w:tc>
      </w:tr>
      <w:tr w:rsidR="00F65C91" w:rsidRPr="001E1601" w14:paraId="31B80BBE" w14:textId="77777777" w:rsidTr="00584267">
        <w:tc>
          <w:tcPr>
            <w:tcW w:w="9071" w:type="dxa"/>
          </w:tcPr>
          <w:p w14:paraId="5BD58580" w14:textId="77777777" w:rsidR="00F65C91" w:rsidRPr="001E1601" w:rsidRDefault="00F65C91">
            <w:pPr>
              <w:rPr>
                <w:rStyle w:val="PleaseReviewParagraphId"/>
              </w:rPr>
            </w:pPr>
          </w:p>
          <w:p w14:paraId="296F6029" w14:textId="13B8A124" w:rsidR="00F65C91" w:rsidRPr="001E1601" w:rsidRDefault="00F65C91" w:rsidP="00A10AC2">
            <w:pPr>
              <w:pStyle w:val="IPPArial"/>
              <w:rPr>
                <w:rStyle w:val="PleaseReviewParagraphId"/>
                <w:rFonts w:cs="Arial"/>
                <w:sz w:val="18"/>
                <w:szCs w:val="18"/>
              </w:rPr>
            </w:pPr>
            <w:r w:rsidRPr="001E1601">
              <w:rPr>
                <w:b/>
              </w:rPr>
              <w:t>Figure 7</w:t>
            </w:r>
            <w:r w:rsidR="00AB0283" w:rsidRPr="001E1601">
              <w:rPr>
                <w:b/>
              </w:rPr>
              <w:t>.</w:t>
            </w:r>
            <w:r w:rsidRPr="001E1601">
              <w:rPr>
                <w:color w:val="FF0000"/>
              </w:rPr>
              <w:t xml:space="preserve"> </w:t>
            </w:r>
            <w:r w:rsidRPr="001E1601">
              <w:t xml:space="preserve">Types of pretarsi (II) in Tetranychidae on </w:t>
            </w:r>
            <w:r w:rsidRPr="00584267">
              <w:rPr>
                <w:i/>
                <w:iCs/>
              </w:rPr>
              <w:t>Manihot</w:t>
            </w:r>
            <w:r w:rsidRPr="001E1601">
              <w:t xml:space="preserve"> spp.: (</w:t>
            </w:r>
            <w:r w:rsidRPr="001E1601">
              <w:rPr>
                <w:rStyle w:val="PleaseReviewParagraphId"/>
                <w:rFonts w:cs="Arial"/>
                <w:sz w:val="18"/>
                <w:szCs w:val="18"/>
              </w:rPr>
              <w:t xml:space="preserve"> </w:t>
            </w:r>
          </w:p>
          <w:p w14:paraId="30C8C483" w14:textId="2D0A9182" w:rsidR="00F65C91" w:rsidRPr="001E1601" w:rsidRDefault="00F65C91" w:rsidP="00A10AC2">
            <w:pPr>
              <w:pStyle w:val="IPPArialFootnote"/>
              <w:rPr>
                <w:rStyle w:val="PleaseReviewParagraphId"/>
              </w:rPr>
            </w:pPr>
            <w:r w:rsidRPr="001E1601">
              <w:rPr>
                <w:rStyle w:val="PleaseReviewParagraphId"/>
              </w:rPr>
              <w:t>[343]</w:t>
            </w:r>
            <w:r w:rsidRPr="00584267">
              <w:rPr>
                <w:i/>
                <w:iCs/>
              </w:rPr>
              <w:t>Source:</w:t>
            </w:r>
            <w:r w:rsidRPr="001E1601">
              <w:t xml:space="preserve"> Q.-H. Fan, Plant Health &amp; Environment Laboratory, Biosecurity New Zealand, Ministry for Primary Industries, New Zealand and D. Navia, Institut National de Recherche pour l’Agriculture, l’Alimentation et l’Environnement, France</w:t>
            </w:r>
            <w:r w:rsidR="00B42C17" w:rsidRPr="001E1601">
              <w:t>.</w:t>
            </w:r>
          </w:p>
          <w:p w14:paraId="2127913C" w14:textId="77777777" w:rsidR="00F65C91" w:rsidRPr="001E1601" w:rsidRDefault="00F65C91">
            <w:pPr>
              <w:rPr>
                <w:rStyle w:val="PleaseReviewParagraphId"/>
              </w:rPr>
            </w:pPr>
          </w:p>
          <w:p w14:paraId="05FB74C1" w14:textId="77777777" w:rsidR="00F65C91" w:rsidRPr="001E1601" w:rsidRDefault="00F65C91">
            <w:pPr>
              <w:rPr>
                <w:rStyle w:val="PleaseReviewParagraphId"/>
              </w:rPr>
            </w:pPr>
          </w:p>
          <w:p w14:paraId="1ABACE4E" w14:textId="77777777" w:rsidR="00F65C91" w:rsidRPr="001E1601" w:rsidRDefault="00F65C91">
            <w:pPr>
              <w:rPr>
                <w:rStyle w:val="PleaseReviewParagraphId"/>
              </w:rPr>
            </w:pPr>
          </w:p>
          <w:p w14:paraId="0B89570A" w14:textId="77777777" w:rsidR="00F65C91" w:rsidRPr="001E1601" w:rsidRDefault="00F65C91">
            <w:pPr>
              <w:rPr>
                <w:rStyle w:val="PleaseReviewParagraphId"/>
              </w:rPr>
            </w:pPr>
          </w:p>
          <w:p w14:paraId="2EDCBFCC" w14:textId="77777777" w:rsidR="00F65C91" w:rsidRPr="001E1601" w:rsidRDefault="00F65C91">
            <w:pPr>
              <w:rPr>
                <w:rStyle w:val="PleaseReviewParagraphId"/>
              </w:rPr>
            </w:pPr>
            <w:r w:rsidRPr="001E1601">
              <w:rPr>
                <w:noProof/>
                <w:lang w:val="en-US"/>
              </w:rPr>
              <w:drawing>
                <wp:inline distT="0" distB="0" distL="0" distR="0" wp14:anchorId="246E653D" wp14:editId="3A2EAA94">
                  <wp:extent cx="4295163" cy="3094990"/>
                  <wp:effectExtent l="19050" t="19050" r="10160" b="101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 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31352" cy="3121067"/>
                          </a:xfrm>
                          <a:prstGeom prst="rect">
                            <a:avLst/>
                          </a:prstGeom>
                          <a:ln>
                            <a:solidFill>
                              <a:schemeClr val="tx1"/>
                            </a:solidFill>
                          </a:ln>
                        </pic:spPr>
                      </pic:pic>
                    </a:graphicData>
                  </a:graphic>
                </wp:inline>
              </w:drawing>
            </w:r>
          </w:p>
          <w:p w14:paraId="65B6D28B" w14:textId="77777777" w:rsidR="00F65C91" w:rsidRPr="001E1601" w:rsidRDefault="00F65C91">
            <w:pPr>
              <w:rPr>
                <w:rStyle w:val="PleaseReviewParagraphId"/>
              </w:rPr>
            </w:pPr>
          </w:p>
        </w:tc>
      </w:tr>
      <w:tr w:rsidR="00F65C91" w:rsidRPr="001E1601" w14:paraId="39052814" w14:textId="77777777" w:rsidTr="00584267">
        <w:tc>
          <w:tcPr>
            <w:tcW w:w="9071" w:type="dxa"/>
          </w:tcPr>
          <w:p w14:paraId="7CA74B6A" w14:textId="77777777" w:rsidR="00F65C91" w:rsidRPr="001E1601" w:rsidRDefault="00F65C91">
            <w:pPr>
              <w:rPr>
                <w:rFonts w:ascii="Arial" w:hAnsi="Arial" w:cs="Arial"/>
                <w:b/>
                <w:sz w:val="18"/>
                <w:szCs w:val="18"/>
              </w:rPr>
            </w:pPr>
            <w:r w:rsidRPr="001E1601">
              <w:rPr>
                <w:rStyle w:val="PleaseReviewParagraphId"/>
              </w:rPr>
              <w:t>[325]</w:t>
            </w:r>
          </w:p>
        </w:tc>
      </w:tr>
      <w:tr w:rsidR="00F65C91" w:rsidRPr="001E1601" w14:paraId="133C90A7" w14:textId="77777777" w:rsidTr="00584267">
        <w:tc>
          <w:tcPr>
            <w:tcW w:w="9071" w:type="dxa"/>
          </w:tcPr>
          <w:p w14:paraId="15DF69CD" w14:textId="097D013F" w:rsidR="00F65C91" w:rsidRPr="001E1601" w:rsidRDefault="00F65C91" w:rsidP="00A10AC2">
            <w:pPr>
              <w:pStyle w:val="IPPArial"/>
            </w:pPr>
            <w:r w:rsidRPr="001E1601">
              <w:rPr>
                <w:rStyle w:val="PleaseReviewParagraphId"/>
              </w:rPr>
              <w:t>[326]</w:t>
            </w:r>
            <w:r w:rsidRPr="001E1601">
              <w:rPr>
                <w:b/>
              </w:rPr>
              <w:t>Figure</w:t>
            </w:r>
            <w:r w:rsidR="00B93540" w:rsidRPr="001E1601">
              <w:rPr>
                <w:b/>
              </w:rPr>
              <w:t xml:space="preserve"> </w:t>
            </w:r>
            <w:r w:rsidRPr="001E1601">
              <w:rPr>
                <w:b/>
              </w:rPr>
              <w:t xml:space="preserve">8. </w:t>
            </w:r>
            <w:r w:rsidRPr="001E1601">
              <w:t>Hysterosoma</w:t>
            </w:r>
            <w:r w:rsidR="007F7EF0" w:rsidRPr="001E1601">
              <w:t>:</w:t>
            </w:r>
            <w:r w:rsidRPr="001E1601">
              <w:t xml:space="preserve"> </w:t>
            </w:r>
            <w:r w:rsidRPr="00584267">
              <w:rPr>
                <w:bCs/>
              </w:rPr>
              <w:t xml:space="preserve">(A) </w:t>
            </w:r>
            <w:r w:rsidRPr="001E1601">
              <w:t xml:space="preserve">male </w:t>
            </w:r>
            <w:r w:rsidRPr="001E1601">
              <w:rPr>
                <w:i/>
              </w:rPr>
              <w:t>Mononychellus</w:t>
            </w:r>
            <w:r w:rsidRPr="001E1601">
              <w:t xml:space="preserve">; </w:t>
            </w:r>
            <w:r w:rsidRPr="00584267">
              <w:rPr>
                <w:bCs/>
              </w:rPr>
              <w:t>(B)</w:t>
            </w:r>
            <w:r w:rsidRPr="001E1601">
              <w:rPr>
                <w:bCs/>
              </w:rPr>
              <w:t xml:space="preserve"> </w:t>
            </w:r>
            <w:r w:rsidRPr="001E1601">
              <w:t xml:space="preserve">female </w:t>
            </w:r>
            <w:r w:rsidRPr="001E1601">
              <w:rPr>
                <w:i/>
              </w:rPr>
              <w:t>Neotetranychus</w:t>
            </w:r>
            <w:r w:rsidRPr="001E1601">
              <w:t xml:space="preserve">; </w:t>
            </w:r>
            <w:r w:rsidRPr="00584267">
              <w:rPr>
                <w:bCs/>
              </w:rPr>
              <w:t>(C)</w:t>
            </w:r>
            <w:r w:rsidRPr="001E1601">
              <w:rPr>
                <w:bCs/>
              </w:rPr>
              <w:t xml:space="preserve"> </w:t>
            </w:r>
            <w:r w:rsidRPr="001E1601">
              <w:t xml:space="preserve">female </w:t>
            </w:r>
            <w:r w:rsidRPr="001E1601">
              <w:rPr>
                <w:i/>
              </w:rPr>
              <w:t>Aponychus</w:t>
            </w:r>
            <w:r w:rsidRPr="001E1601">
              <w:t>;</w:t>
            </w:r>
          </w:p>
          <w:p w14:paraId="36EA8B7B" w14:textId="77777777" w:rsidR="00F65C91" w:rsidRPr="001E1601" w:rsidRDefault="00F65C91">
            <w:pPr>
              <w:rPr>
                <w:rFonts w:ascii="Arial" w:hAnsi="Arial" w:cs="Arial"/>
                <w:sz w:val="18"/>
                <w:szCs w:val="18"/>
              </w:rPr>
            </w:pPr>
            <w:r w:rsidRPr="001E1601">
              <w:rPr>
                <w:rStyle w:val="PleaseReviewParagraphId"/>
              </w:rPr>
              <w:t>[327]</w:t>
            </w:r>
            <w:r w:rsidRPr="00584267">
              <w:rPr>
                <w:rFonts w:ascii="Arial" w:hAnsi="Arial" w:cs="Arial"/>
                <w:bCs/>
                <w:sz w:val="18"/>
                <w:szCs w:val="18"/>
              </w:rPr>
              <w:t>(D)</w:t>
            </w:r>
            <w:r w:rsidRPr="001E1601">
              <w:rPr>
                <w:rFonts w:ascii="Arial" w:hAnsi="Arial" w:cs="Arial"/>
                <w:sz w:val="18"/>
                <w:szCs w:val="18"/>
              </w:rPr>
              <w:t xml:space="preserve"> female </w:t>
            </w:r>
            <w:r w:rsidRPr="001E1601">
              <w:rPr>
                <w:rFonts w:ascii="Arial" w:hAnsi="Arial" w:cs="Arial"/>
                <w:i/>
                <w:sz w:val="18"/>
                <w:szCs w:val="18"/>
              </w:rPr>
              <w:t>Eutetranychus</w:t>
            </w:r>
            <w:r w:rsidRPr="001E1601">
              <w:rPr>
                <w:rFonts w:ascii="Arial" w:hAnsi="Arial" w:cs="Arial"/>
                <w:sz w:val="18"/>
                <w:szCs w:val="18"/>
              </w:rPr>
              <w:t>.</w:t>
            </w:r>
          </w:p>
          <w:p w14:paraId="5EF5B563" w14:textId="1BA57946" w:rsidR="00F65C91" w:rsidRPr="001E1601" w:rsidRDefault="00F65C91" w:rsidP="00A10AC2">
            <w:pPr>
              <w:pStyle w:val="IPPArialFootnote"/>
            </w:pPr>
            <w:r w:rsidRPr="001E1601">
              <w:rPr>
                <w:rStyle w:val="PleaseReviewParagraphId"/>
              </w:rPr>
              <w:lastRenderedPageBreak/>
              <w:t>[328]</w:t>
            </w:r>
            <w:r w:rsidRPr="00584267">
              <w:rPr>
                <w:i/>
                <w:iCs/>
              </w:rPr>
              <w:t>Source:</w:t>
            </w:r>
            <w:r w:rsidRPr="001E1601">
              <w:t xml:space="preserve"> Q.-H. Fan, Plant Health &amp; Environment Laboratory, Biosecurity New Zealand, Ministry for Primary Industries, New Zealand and D. Navia, Institut National de Recherche pour l’Agriculture, l’Alimentation et l’Environnement, France.</w:t>
            </w:r>
          </w:p>
        </w:tc>
      </w:tr>
      <w:tr w:rsidR="00F65C91" w:rsidRPr="001E1601" w14:paraId="3197E6C7" w14:textId="77777777" w:rsidTr="00584267">
        <w:tc>
          <w:tcPr>
            <w:tcW w:w="9071" w:type="dxa"/>
          </w:tcPr>
          <w:p w14:paraId="1586098C" w14:textId="77777777" w:rsidR="00F65C91" w:rsidRPr="001E1601" w:rsidRDefault="00F65C91">
            <w:pPr>
              <w:rPr>
                <w:noProof/>
              </w:rPr>
            </w:pPr>
            <w:r w:rsidRPr="001E1601">
              <w:rPr>
                <w:rStyle w:val="PleaseReviewParagraphId"/>
              </w:rPr>
              <w:lastRenderedPageBreak/>
              <w:t>[329]</w:t>
            </w:r>
            <w:r w:rsidRPr="001E1601">
              <w:rPr>
                <w:noProof/>
              </w:rPr>
              <w:t xml:space="preserve"> </w:t>
            </w:r>
            <w:r w:rsidRPr="001E1601">
              <w:rPr>
                <w:noProof/>
                <w:lang w:val="en-US"/>
              </w:rPr>
              <w:drawing>
                <wp:inline distT="0" distB="0" distL="0" distR="0" wp14:anchorId="2B52CC4E" wp14:editId="5EEDA96D">
                  <wp:extent cx="5655600" cy="37404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65">
                            <a:extLst>
                              <a:ext uri="{28A0092B-C50C-407E-A947-70E740481C1C}">
                                <a14:useLocalDpi xmlns:a14="http://schemas.microsoft.com/office/drawing/2010/main" val="0"/>
                              </a:ext>
                            </a:extLst>
                          </a:blip>
                          <a:srcRect l="3262" r="3069" b="4409"/>
                          <a:stretch/>
                        </pic:blipFill>
                        <pic:spPr bwMode="auto">
                          <a:xfrm>
                            <a:off x="0" y="0"/>
                            <a:ext cx="5655600" cy="3740400"/>
                          </a:xfrm>
                          <a:prstGeom prst="rect">
                            <a:avLst/>
                          </a:prstGeom>
                          <a:ln>
                            <a:noFill/>
                          </a:ln>
                          <a:extLst>
                            <a:ext uri="{53640926-AAD7-44D8-BBD7-CCE9431645EC}">
                              <a14:shadowObscured xmlns:a14="http://schemas.microsoft.com/office/drawing/2010/main"/>
                            </a:ext>
                          </a:extLst>
                        </pic:spPr>
                      </pic:pic>
                    </a:graphicData>
                  </a:graphic>
                </wp:inline>
              </w:drawing>
            </w:r>
          </w:p>
          <w:p w14:paraId="4D15DB93" w14:textId="77777777" w:rsidR="00C41619" w:rsidRPr="001E1601" w:rsidRDefault="00C41619" w:rsidP="00A10AC2">
            <w:pPr>
              <w:pStyle w:val="IPPArial"/>
              <w:rPr>
                <w:b/>
                <w:bCs/>
                <w:noProof/>
              </w:rPr>
            </w:pPr>
          </w:p>
          <w:p w14:paraId="52290026" w14:textId="3CA829A6" w:rsidR="00F65C91" w:rsidRPr="001E1601" w:rsidRDefault="00F65C91" w:rsidP="00A10AC2">
            <w:pPr>
              <w:pStyle w:val="IPPArial"/>
              <w:rPr>
                <w:noProof/>
              </w:rPr>
            </w:pPr>
            <w:r w:rsidRPr="00584267">
              <w:rPr>
                <w:b/>
                <w:bCs/>
                <w:noProof/>
              </w:rPr>
              <w:t>Figure 9.</w:t>
            </w:r>
            <w:r w:rsidRPr="001E1601">
              <w:rPr>
                <w:noProof/>
              </w:rPr>
              <w:t xml:space="preserve"> Prodorsum of adult females of </w:t>
            </w:r>
            <w:r w:rsidRPr="00584267">
              <w:rPr>
                <w:i/>
                <w:iCs/>
                <w:noProof/>
              </w:rPr>
              <w:t>Mononychellus</w:t>
            </w:r>
            <w:r w:rsidRPr="001E1601">
              <w:rPr>
                <w:noProof/>
              </w:rPr>
              <w:t xml:space="preserve"> spp.</w:t>
            </w:r>
            <w:r w:rsidR="00DD0E90" w:rsidRPr="001E1601">
              <w:rPr>
                <w:noProof/>
              </w:rPr>
              <w:t>:</w:t>
            </w:r>
            <w:r w:rsidRPr="001E1601">
              <w:rPr>
                <w:noProof/>
              </w:rPr>
              <w:t xml:space="preserve"> (A) </w:t>
            </w:r>
            <w:r w:rsidRPr="00584267">
              <w:rPr>
                <w:i/>
                <w:iCs/>
                <w:noProof/>
              </w:rPr>
              <w:t>M.</w:t>
            </w:r>
            <w:r w:rsidR="00DD0E90" w:rsidRPr="00584267">
              <w:rPr>
                <w:i/>
                <w:iCs/>
                <w:noProof/>
              </w:rPr>
              <w:t> </w:t>
            </w:r>
            <w:r w:rsidRPr="00584267">
              <w:rPr>
                <w:i/>
                <w:iCs/>
                <w:noProof/>
              </w:rPr>
              <w:t>bondari</w:t>
            </w:r>
            <w:r w:rsidRPr="001E1601">
              <w:rPr>
                <w:noProof/>
              </w:rPr>
              <w:t xml:space="preserve">; (B) </w:t>
            </w:r>
            <w:r w:rsidRPr="00584267">
              <w:rPr>
                <w:i/>
                <w:iCs/>
                <w:noProof/>
              </w:rPr>
              <w:t>M.</w:t>
            </w:r>
            <w:r w:rsidR="00DD0E90" w:rsidRPr="00584267">
              <w:rPr>
                <w:i/>
                <w:iCs/>
                <w:noProof/>
              </w:rPr>
              <w:t> </w:t>
            </w:r>
            <w:r w:rsidRPr="00584267">
              <w:rPr>
                <w:i/>
                <w:iCs/>
                <w:noProof/>
              </w:rPr>
              <w:t>caribbeanae</w:t>
            </w:r>
            <w:r w:rsidRPr="001E1601">
              <w:rPr>
                <w:noProof/>
              </w:rPr>
              <w:t>;</w:t>
            </w:r>
            <w:r w:rsidR="00DD0E90" w:rsidRPr="001E1601">
              <w:rPr>
                <w:noProof/>
              </w:rPr>
              <w:t xml:space="preserve"> </w:t>
            </w:r>
            <w:r w:rsidRPr="001E1601">
              <w:rPr>
                <w:rStyle w:val="PleaseReviewParagraphId"/>
              </w:rPr>
              <w:t>[346]</w:t>
            </w:r>
            <w:r w:rsidRPr="001E1601">
              <w:rPr>
                <w:noProof/>
              </w:rPr>
              <w:t xml:space="preserve">(C) </w:t>
            </w:r>
            <w:r w:rsidRPr="00584267">
              <w:rPr>
                <w:i/>
                <w:iCs/>
                <w:noProof/>
              </w:rPr>
              <w:t>M.</w:t>
            </w:r>
            <w:r w:rsidR="00DD0E90" w:rsidRPr="00584267">
              <w:rPr>
                <w:i/>
                <w:iCs/>
                <w:noProof/>
              </w:rPr>
              <w:t> </w:t>
            </w:r>
            <w:r w:rsidRPr="00584267">
              <w:rPr>
                <w:i/>
                <w:iCs/>
                <w:noProof/>
              </w:rPr>
              <w:t>chemosetosus</w:t>
            </w:r>
            <w:r w:rsidRPr="001E1601">
              <w:rPr>
                <w:noProof/>
              </w:rPr>
              <w:t xml:space="preserve">; (D) </w:t>
            </w:r>
            <w:r w:rsidRPr="00584267">
              <w:rPr>
                <w:i/>
                <w:iCs/>
                <w:noProof/>
              </w:rPr>
              <w:t>M.</w:t>
            </w:r>
            <w:r w:rsidR="00DD0E90" w:rsidRPr="00584267">
              <w:rPr>
                <w:i/>
                <w:iCs/>
                <w:noProof/>
              </w:rPr>
              <w:t> </w:t>
            </w:r>
            <w:r w:rsidRPr="00584267">
              <w:rPr>
                <w:i/>
                <w:iCs/>
                <w:noProof/>
              </w:rPr>
              <w:t>mcgregori</w:t>
            </w:r>
            <w:r w:rsidRPr="001E1601">
              <w:rPr>
                <w:noProof/>
              </w:rPr>
              <w:t xml:space="preserve">; (E) </w:t>
            </w:r>
            <w:r w:rsidRPr="00584267">
              <w:rPr>
                <w:i/>
                <w:iCs/>
                <w:noProof/>
              </w:rPr>
              <w:t>M.</w:t>
            </w:r>
            <w:r w:rsidR="00DD0E90" w:rsidRPr="00584267">
              <w:rPr>
                <w:i/>
                <w:iCs/>
                <w:noProof/>
              </w:rPr>
              <w:t> </w:t>
            </w:r>
            <w:r w:rsidRPr="00584267">
              <w:rPr>
                <w:i/>
                <w:iCs/>
                <w:noProof/>
              </w:rPr>
              <w:t>planki</w:t>
            </w:r>
            <w:r w:rsidRPr="001E1601">
              <w:rPr>
                <w:noProof/>
              </w:rPr>
              <w:t xml:space="preserve">; (F) </w:t>
            </w:r>
            <w:r w:rsidRPr="00584267">
              <w:rPr>
                <w:i/>
                <w:iCs/>
                <w:noProof/>
              </w:rPr>
              <w:t>M.</w:t>
            </w:r>
            <w:r w:rsidR="00DD0E90" w:rsidRPr="00584267">
              <w:rPr>
                <w:i/>
                <w:iCs/>
                <w:noProof/>
              </w:rPr>
              <w:t> </w:t>
            </w:r>
            <w:r w:rsidRPr="00584267">
              <w:rPr>
                <w:i/>
                <w:iCs/>
                <w:noProof/>
              </w:rPr>
              <w:t>tanajoa</w:t>
            </w:r>
            <w:r w:rsidRPr="001E1601">
              <w:rPr>
                <w:noProof/>
              </w:rPr>
              <w:t>.</w:t>
            </w:r>
          </w:p>
          <w:p w14:paraId="09F785CE" w14:textId="1A52896B" w:rsidR="00F65C91" w:rsidRPr="001E1601" w:rsidRDefault="00F65C91" w:rsidP="00A10AC2">
            <w:pPr>
              <w:pStyle w:val="IPPArialFootnote"/>
              <w:rPr>
                <w:noProof/>
              </w:rPr>
            </w:pPr>
            <w:r w:rsidRPr="001E1601">
              <w:rPr>
                <w:rStyle w:val="PleaseReviewParagraphId"/>
              </w:rPr>
              <w:t>[347]</w:t>
            </w:r>
            <w:r w:rsidRPr="00584267">
              <w:rPr>
                <w:i/>
                <w:iCs/>
                <w:noProof/>
              </w:rPr>
              <w:t>Source</w:t>
            </w:r>
            <w:r w:rsidRPr="001E1601">
              <w:rPr>
                <w:noProof/>
              </w:rPr>
              <w:t>: D. Navia, Institut National de Recherche pour l’Agriculture, l’Alimentation et l’Environnement, France and Q.-H. Fan, Plant Health &amp; Environment Laboratory, Biosecurity New Zealand, Ministry for Primary Industries, New Zealand.</w:t>
            </w:r>
          </w:p>
          <w:p w14:paraId="77D4D4B3" w14:textId="77777777" w:rsidR="00F65C91" w:rsidRPr="001E1601" w:rsidRDefault="00F65C91">
            <w:pPr>
              <w:ind w:left="720"/>
              <w:rPr>
                <w:rFonts w:ascii="Arial" w:hAnsi="Arial" w:cs="Arial"/>
                <w:bCs/>
                <w:noProof/>
                <w:sz w:val="18"/>
                <w:szCs w:val="18"/>
              </w:rPr>
            </w:pPr>
          </w:p>
          <w:p w14:paraId="3AF0BEF4" w14:textId="0C3B90AC" w:rsidR="00F65C91" w:rsidRPr="001E1601" w:rsidRDefault="00A0312A">
            <w:pPr>
              <w:rPr>
                <w:rFonts w:ascii="Arial" w:hAnsi="Arial" w:cs="Arial"/>
                <w:b/>
                <w:noProof/>
                <w:sz w:val="18"/>
                <w:szCs w:val="18"/>
              </w:rPr>
            </w:pPr>
            <w:r>
              <w:rPr>
                <w:sz w:val="22"/>
                <w:lang w:eastAsia="en-US"/>
              </w:rPr>
              <w:object w:dxaOrig="9165" w:dyaOrig="7665" w14:anchorId="376E14DC">
                <v:shape id="_x0000_i1026" type="#_x0000_t75" style="width:453.75pt;height:381.75pt" o:ole="">
                  <v:imagedata r:id="rId66" o:title=""/>
                </v:shape>
                <o:OLEObject Type="Embed" ProgID="PBrush" ShapeID="_x0000_i1026" DrawAspect="Content" ObjectID="_1747229321" r:id="rId67"/>
              </w:object>
            </w:r>
          </w:p>
          <w:p w14:paraId="40DA6E15" w14:textId="77777777" w:rsidR="00F65C91" w:rsidRPr="001E1601" w:rsidRDefault="00F65C91">
            <w:pPr>
              <w:rPr>
                <w:rFonts w:ascii="Arial" w:hAnsi="Arial" w:cs="Arial"/>
                <w:bCs/>
                <w:noProof/>
                <w:sz w:val="18"/>
                <w:szCs w:val="18"/>
              </w:rPr>
            </w:pPr>
          </w:p>
          <w:p w14:paraId="7526BAD9" w14:textId="128971A9" w:rsidR="00A10AC2" w:rsidRPr="001E1601" w:rsidRDefault="00F65C91" w:rsidP="00851997">
            <w:pPr>
              <w:pStyle w:val="IPPArial"/>
              <w:rPr>
                <w:rFonts w:cs="Arial"/>
                <w:bCs/>
                <w:noProof/>
                <w:szCs w:val="18"/>
              </w:rPr>
            </w:pPr>
            <w:r w:rsidRPr="001E1601">
              <w:rPr>
                <w:rStyle w:val="PleaseReviewParagraphId"/>
                <w:lang w:eastAsia="en-US"/>
              </w:rPr>
              <w:t>[349]</w:t>
            </w:r>
            <w:r w:rsidR="005B440A" w:rsidRPr="001E1601">
              <w:rPr>
                <w:rStyle w:val="PleaseReviewParagraphId"/>
                <w:lang w:eastAsia="en-US"/>
              </w:rPr>
              <w:t>[350]</w:t>
            </w:r>
            <w:r w:rsidRPr="00584267">
              <w:rPr>
                <w:b/>
                <w:bCs/>
                <w:noProof/>
              </w:rPr>
              <w:t>Figure 10.</w:t>
            </w:r>
            <w:r w:rsidRPr="001E1601">
              <w:rPr>
                <w:noProof/>
              </w:rPr>
              <w:t xml:space="preserve"> Hysterosoma of adult females of </w:t>
            </w:r>
            <w:r w:rsidRPr="00584267">
              <w:rPr>
                <w:i/>
                <w:iCs/>
                <w:noProof/>
              </w:rPr>
              <w:t>Mononychellus</w:t>
            </w:r>
            <w:r w:rsidRPr="001E1601">
              <w:rPr>
                <w:noProof/>
              </w:rPr>
              <w:t xml:space="preserve"> spp.</w:t>
            </w:r>
            <w:r w:rsidR="00851997" w:rsidRPr="001E1601">
              <w:rPr>
                <w:noProof/>
              </w:rPr>
              <w:t>:</w:t>
            </w:r>
            <w:r w:rsidRPr="001E1601">
              <w:rPr>
                <w:noProof/>
              </w:rPr>
              <w:t xml:space="preserve"> (A) </w:t>
            </w:r>
            <w:r w:rsidRPr="00584267">
              <w:rPr>
                <w:i/>
                <w:iCs/>
                <w:noProof/>
              </w:rPr>
              <w:t>M.</w:t>
            </w:r>
            <w:r w:rsidR="00851997" w:rsidRPr="00584267">
              <w:rPr>
                <w:i/>
                <w:iCs/>
                <w:noProof/>
              </w:rPr>
              <w:t> </w:t>
            </w:r>
            <w:r w:rsidRPr="00584267">
              <w:rPr>
                <w:i/>
                <w:iCs/>
                <w:noProof/>
              </w:rPr>
              <w:t>bondari</w:t>
            </w:r>
            <w:r w:rsidRPr="001E1601">
              <w:rPr>
                <w:noProof/>
              </w:rPr>
              <w:t xml:space="preserve">; (B) </w:t>
            </w:r>
            <w:r w:rsidRPr="00584267">
              <w:rPr>
                <w:i/>
                <w:iCs/>
                <w:noProof/>
              </w:rPr>
              <w:t>M.</w:t>
            </w:r>
            <w:r w:rsidR="00851997" w:rsidRPr="00584267">
              <w:rPr>
                <w:i/>
                <w:iCs/>
                <w:noProof/>
              </w:rPr>
              <w:t> </w:t>
            </w:r>
            <w:r w:rsidRPr="00584267">
              <w:rPr>
                <w:i/>
                <w:iCs/>
                <w:noProof/>
              </w:rPr>
              <w:t>caribbeanae</w:t>
            </w:r>
            <w:r w:rsidRPr="001E1601">
              <w:rPr>
                <w:noProof/>
              </w:rPr>
              <w:t>;</w:t>
            </w:r>
            <w:r w:rsidR="005B440A" w:rsidRPr="001E1601">
              <w:rPr>
                <w:noProof/>
              </w:rPr>
              <w:t xml:space="preserve"> </w:t>
            </w:r>
            <w:r w:rsidRPr="001E1601">
              <w:rPr>
                <w:rFonts w:cs="Arial"/>
                <w:bCs/>
                <w:noProof/>
                <w:szCs w:val="18"/>
              </w:rPr>
              <w:t xml:space="preserve">(C) </w:t>
            </w:r>
            <w:r w:rsidRPr="00584267">
              <w:rPr>
                <w:rFonts w:cs="Arial"/>
                <w:bCs/>
                <w:i/>
                <w:iCs/>
                <w:noProof/>
                <w:szCs w:val="18"/>
              </w:rPr>
              <w:t>M.</w:t>
            </w:r>
            <w:r w:rsidR="00851997" w:rsidRPr="00584267">
              <w:rPr>
                <w:rFonts w:cs="Arial"/>
                <w:bCs/>
                <w:i/>
                <w:iCs/>
                <w:noProof/>
                <w:szCs w:val="18"/>
              </w:rPr>
              <w:t> </w:t>
            </w:r>
            <w:r w:rsidRPr="00584267">
              <w:rPr>
                <w:rFonts w:cs="Arial"/>
                <w:bCs/>
                <w:i/>
                <w:iCs/>
                <w:noProof/>
                <w:szCs w:val="18"/>
              </w:rPr>
              <w:t>chemosetosus</w:t>
            </w:r>
            <w:r w:rsidRPr="001E1601">
              <w:rPr>
                <w:rFonts w:cs="Arial"/>
                <w:bCs/>
                <w:noProof/>
                <w:szCs w:val="18"/>
              </w:rPr>
              <w:t xml:space="preserve">; (D) </w:t>
            </w:r>
            <w:r w:rsidRPr="00584267">
              <w:rPr>
                <w:rFonts w:cs="Arial"/>
                <w:bCs/>
                <w:i/>
                <w:iCs/>
                <w:noProof/>
                <w:szCs w:val="18"/>
              </w:rPr>
              <w:t>M.</w:t>
            </w:r>
            <w:r w:rsidR="00851997" w:rsidRPr="00584267">
              <w:rPr>
                <w:rFonts w:cs="Arial"/>
                <w:bCs/>
                <w:i/>
                <w:iCs/>
                <w:noProof/>
                <w:szCs w:val="18"/>
              </w:rPr>
              <w:t> </w:t>
            </w:r>
            <w:r w:rsidRPr="00584267">
              <w:rPr>
                <w:rFonts w:cs="Arial"/>
                <w:bCs/>
                <w:i/>
                <w:iCs/>
                <w:noProof/>
                <w:szCs w:val="18"/>
              </w:rPr>
              <w:t>mcgregori</w:t>
            </w:r>
            <w:r w:rsidRPr="001E1601">
              <w:rPr>
                <w:rFonts w:cs="Arial"/>
                <w:bCs/>
                <w:noProof/>
                <w:szCs w:val="18"/>
              </w:rPr>
              <w:t xml:space="preserve">; (E) </w:t>
            </w:r>
            <w:r w:rsidRPr="00584267">
              <w:rPr>
                <w:rFonts w:cs="Arial"/>
                <w:bCs/>
                <w:i/>
                <w:iCs/>
                <w:noProof/>
                <w:szCs w:val="18"/>
              </w:rPr>
              <w:t>M.</w:t>
            </w:r>
            <w:r w:rsidR="00851997" w:rsidRPr="00584267">
              <w:rPr>
                <w:rFonts w:cs="Arial"/>
                <w:bCs/>
                <w:i/>
                <w:iCs/>
                <w:noProof/>
                <w:szCs w:val="18"/>
              </w:rPr>
              <w:t> </w:t>
            </w:r>
            <w:r w:rsidRPr="00584267">
              <w:rPr>
                <w:rFonts w:cs="Arial"/>
                <w:bCs/>
                <w:i/>
                <w:iCs/>
                <w:noProof/>
                <w:szCs w:val="18"/>
              </w:rPr>
              <w:t>planki</w:t>
            </w:r>
            <w:r w:rsidRPr="001E1601">
              <w:rPr>
                <w:rFonts w:cs="Arial"/>
                <w:bCs/>
                <w:noProof/>
                <w:szCs w:val="18"/>
              </w:rPr>
              <w:t xml:space="preserve">; (F) </w:t>
            </w:r>
            <w:r w:rsidRPr="00584267">
              <w:rPr>
                <w:rFonts w:cs="Arial"/>
                <w:bCs/>
                <w:i/>
                <w:iCs/>
                <w:noProof/>
                <w:szCs w:val="18"/>
              </w:rPr>
              <w:t>M.</w:t>
            </w:r>
            <w:r w:rsidR="00851997" w:rsidRPr="00584267">
              <w:rPr>
                <w:rFonts w:cs="Arial"/>
                <w:bCs/>
                <w:i/>
                <w:iCs/>
                <w:noProof/>
                <w:szCs w:val="18"/>
              </w:rPr>
              <w:t> </w:t>
            </w:r>
            <w:r w:rsidRPr="00584267">
              <w:rPr>
                <w:rFonts w:cs="Arial"/>
                <w:bCs/>
                <w:i/>
                <w:iCs/>
                <w:noProof/>
                <w:szCs w:val="18"/>
              </w:rPr>
              <w:t>tanajoa</w:t>
            </w:r>
            <w:r w:rsidRPr="001E1601">
              <w:rPr>
                <w:rFonts w:cs="Arial"/>
                <w:bCs/>
                <w:noProof/>
                <w:szCs w:val="18"/>
              </w:rPr>
              <w:t>.</w:t>
            </w:r>
          </w:p>
          <w:p w14:paraId="52287F83" w14:textId="3DDA22C8" w:rsidR="00F65C91" w:rsidRPr="001E1601" w:rsidRDefault="00F65C91" w:rsidP="00A10AC2">
            <w:pPr>
              <w:pStyle w:val="IPPArialFootnote"/>
              <w:rPr>
                <w:noProof/>
              </w:rPr>
            </w:pPr>
            <w:r w:rsidRPr="00584267">
              <w:rPr>
                <w:i/>
                <w:iCs/>
                <w:noProof/>
              </w:rPr>
              <w:t>Source:</w:t>
            </w:r>
            <w:r w:rsidRPr="001E1601">
              <w:rPr>
                <w:noProof/>
              </w:rPr>
              <w:t xml:space="preserve"> D. Navia, Institut National de Recherche pour l’Agriculture, l’Alimentation et l’Environnement, France and Q.-H. Fan, Plant Health &amp; Environment Laboratory, Biosecurity New Zealand, Ministry for Primary Industries, New Zealand.</w:t>
            </w:r>
          </w:p>
          <w:p w14:paraId="76B0B44E" w14:textId="77777777" w:rsidR="00F65C91" w:rsidRPr="001E1601" w:rsidRDefault="00F65C91">
            <w:pPr>
              <w:rPr>
                <w:rFonts w:ascii="Arial" w:hAnsi="Arial" w:cs="Arial"/>
                <w:b/>
                <w:noProof/>
                <w:sz w:val="18"/>
                <w:szCs w:val="18"/>
              </w:rPr>
            </w:pPr>
          </w:p>
          <w:p w14:paraId="74020DDE" w14:textId="77777777" w:rsidR="00F65C91" w:rsidRPr="001E1601" w:rsidRDefault="00F65C91">
            <w:pPr>
              <w:rPr>
                <w:rFonts w:ascii="Arial" w:hAnsi="Arial" w:cs="Arial"/>
                <w:b/>
                <w:noProof/>
                <w:sz w:val="18"/>
                <w:szCs w:val="18"/>
              </w:rPr>
            </w:pPr>
          </w:p>
          <w:p w14:paraId="0DDAEF78" w14:textId="77777777" w:rsidR="00F65C91" w:rsidRPr="001E1601" w:rsidRDefault="00F65C91">
            <w:pPr>
              <w:rPr>
                <w:rFonts w:ascii="Arial" w:hAnsi="Arial" w:cs="Arial"/>
                <w:b/>
                <w:noProof/>
                <w:sz w:val="18"/>
                <w:szCs w:val="18"/>
              </w:rPr>
            </w:pPr>
          </w:p>
          <w:p w14:paraId="23217EC6" w14:textId="747529F2" w:rsidR="00F65C91" w:rsidRPr="001E1601" w:rsidRDefault="00EB4FA0">
            <w:pPr>
              <w:rPr>
                <w:rFonts w:ascii="Arial" w:hAnsi="Arial" w:cs="Arial"/>
                <w:b/>
                <w:noProof/>
                <w:sz w:val="18"/>
                <w:szCs w:val="18"/>
              </w:rPr>
            </w:pPr>
            <w:r>
              <w:rPr>
                <w:sz w:val="22"/>
                <w:lang w:eastAsia="en-US"/>
              </w:rPr>
              <w:object w:dxaOrig="10290" w:dyaOrig="7110" w14:anchorId="378F7FDD">
                <v:shape id="_x0000_i1027" type="#_x0000_t75" style="width:453.75pt;height:309.75pt" o:ole="">
                  <v:imagedata r:id="rId68" o:title=""/>
                </v:shape>
                <o:OLEObject Type="Embed" ProgID="PBrush" ShapeID="_x0000_i1027" DrawAspect="Content" ObjectID="_1747229322" r:id="rId69"/>
              </w:object>
            </w:r>
            <w:r w:rsidRPr="001E1601" w:rsidDel="0096052A">
              <w:rPr>
                <w:rStyle w:val="PleaseReviewParagraphId"/>
                <w:rFonts w:eastAsia="Times"/>
                <w:lang w:eastAsia="en-US"/>
              </w:rPr>
              <w:t xml:space="preserve"> </w:t>
            </w:r>
          </w:p>
          <w:p w14:paraId="570943E6" w14:textId="38A50B66" w:rsidR="00F65C91" w:rsidRPr="001E1601" w:rsidRDefault="00F65C91" w:rsidP="00A10AC2">
            <w:pPr>
              <w:pStyle w:val="IPPArial"/>
              <w:rPr>
                <w:noProof/>
              </w:rPr>
            </w:pPr>
            <w:r w:rsidRPr="00584267">
              <w:rPr>
                <w:b/>
                <w:bCs/>
                <w:noProof/>
              </w:rPr>
              <w:t>Figure 11.</w:t>
            </w:r>
            <w:r w:rsidRPr="001E1601">
              <w:rPr>
                <w:noProof/>
              </w:rPr>
              <w:t xml:space="preserve"> Genital and anal regions of adult females of </w:t>
            </w:r>
            <w:r w:rsidRPr="00584267">
              <w:rPr>
                <w:i/>
                <w:iCs/>
                <w:noProof/>
              </w:rPr>
              <w:t>Mononychellus</w:t>
            </w:r>
            <w:r w:rsidRPr="001E1601">
              <w:rPr>
                <w:noProof/>
              </w:rPr>
              <w:t xml:space="preserve"> spp.</w:t>
            </w:r>
            <w:r w:rsidR="00866496" w:rsidRPr="001E1601">
              <w:rPr>
                <w:noProof/>
              </w:rPr>
              <w:t>:</w:t>
            </w:r>
            <w:r w:rsidRPr="001E1601">
              <w:rPr>
                <w:noProof/>
              </w:rPr>
              <w:t xml:space="preserve"> (A) </w:t>
            </w:r>
            <w:r w:rsidRPr="00584267">
              <w:rPr>
                <w:i/>
                <w:iCs/>
                <w:noProof/>
              </w:rPr>
              <w:t>M.</w:t>
            </w:r>
            <w:r w:rsidR="00866496" w:rsidRPr="00584267">
              <w:rPr>
                <w:i/>
                <w:iCs/>
                <w:noProof/>
              </w:rPr>
              <w:t> </w:t>
            </w:r>
            <w:r w:rsidRPr="00584267">
              <w:rPr>
                <w:i/>
                <w:iCs/>
                <w:noProof/>
              </w:rPr>
              <w:t>bondari</w:t>
            </w:r>
            <w:r w:rsidRPr="001E1601">
              <w:rPr>
                <w:noProof/>
              </w:rPr>
              <w:t xml:space="preserve">; (B) </w:t>
            </w:r>
            <w:r w:rsidRPr="00584267">
              <w:rPr>
                <w:i/>
                <w:iCs/>
                <w:noProof/>
              </w:rPr>
              <w:t>M.</w:t>
            </w:r>
            <w:r w:rsidR="00866496" w:rsidRPr="00584267">
              <w:rPr>
                <w:i/>
                <w:iCs/>
                <w:noProof/>
              </w:rPr>
              <w:t> </w:t>
            </w:r>
            <w:r w:rsidRPr="00584267">
              <w:rPr>
                <w:i/>
                <w:iCs/>
                <w:noProof/>
              </w:rPr>
              <w:t>caribbeanae</w:t>
            </w:r>
            <w:r w:rsidRPr="001E1601">
              <w:rPr>
                <w:noProof/>
              </w:rPr>
              <w:t xml:space="preserve">; (C) </w:t>
            </w:r>
            <w:r w:rsidRPr="00584267">
              <w:rPr>
                <w:i/>
                <w:iCs/>
                <w:noProof/>
              </w:rPr>
              <w:t>M.</w:t>
            </w:r>
            <w:r w:rsidR="00866496" w:rsidRPr="00584267">
              <w:rPr>
                <w:i/>
                <w:iCs/>
                <w:noProof/>
              </w:rPr>
              <w:t> </w:t>
            </w:r>
            <w:r w:rsidRPr="00584267">
              <w:rPr>
                <w:i/>
                <w:iCs/>
                <w:noProof/>
              </w:rPr>
              <w:t>chemosetosus</w:t>
            </w:r>
            <w:r w:rsidRPr="001E1601">
              <w:rPr>
                <w:noProof/>
              </w:rPr>
              <w:t xml:space="preserve">; (D) </w:t>
            </w:r>
            <w:r w:rsidRPr="00584267">
              <w:rPr>
                <w:i/>
                <w:iCs/>
                <w:noProof/>
              </w:rPr>
              <w:t>M.</w:t>
            </w:r>
            <w:r w:rsidR="00866496" w:rsidRPr="00584267">
              <w:rPr>
                <w:i/>
                <w:iCs/>
                <w:noProof/>
              </w:rPr>
              <w:t> </w:t>
            </w:r>
            <w:r w:rsidRPr="00584267">
              <w:rPr>
                <w:i/>
                <w:iCs/>
                <w:noProof/>
              </w:rPr>
              <w:t>mcgregori</w:t>
            </w:r>
            <w:r w:rsidRPr="001E1601">
              <w:rPr>
                <w:noProof/>
              </w:rPr>
              <w:t xml:space="preserve">; (E) </w:t>
            </w:r>
            <w:r w:rsidRPr="00584267">
              <w:rPr>
                <w:i/>
                <w:iCs/>
                <w:noProof/>
              </w:rPr>
              <w:t>M.</w:t>
            </w:r>
            <w:r w:rsidR="00866496" w:rsidRPr="00584267">
              <w:rPr>
                <w:i/>
                <w:iCs/>
                <w:noProof/>
              </w:rPr>
              <w:t> </w:t>
            </w:r>
            <w:r w:rsidRPr="00584267">
              <w:rPr>
                <w:i/>
                <w:iCs/>
                <w:noProof/>
              </w:rPr>
              <w:t>planki</w:t>
            </w:r>
            <w:r w:rsidRPr="001E1601">
              <w:rPr>
                <w:noProof/>
              </w:rPr>
              <w:t xml:space="preserve">; (F) </w:t>
            </w:r>
            <w:r w:rsidRPr="00584267">
              <w:rPr>
                <w:i/>
                <w:iCs/>
                <w:noProof/>
              </w:rPr>
              <w:t>M.</w:t>
            </w:r>
            <w:r w:rsidR="00866496" w:rsidRPr="00584267">
              <w:rPr>
                <w:i/>
                <w:iCs/>
                <w:noProof/>
              </w:rPr>
              <w:t> </w:t>
            </w:r>
            <w:r w:rsidRPr="00584267">
              <w:rPr>
                <w:i/>
                <w:iCs/>
                <w:noProof/>
              </w:rPr>
              <w:t>tanajoa</w:t>
            </w:r>
            <w:r w:rsidRPr="001E1601">
              <w:rPr>
                <w:noProof/>
              </w:rPr>
              <w:t>.</w:t>
            </w:r>
          </w:p>
          <w:p w14:paraId="197EC3D2" w14:textId="2EB30D71" w:rsidR="00F65C91" w:rsidRPr="001E1601" w:rsidRDefault="00F65C91" w:rsidP="00A10AC2">
            <w:pPr>
              <w:pStyle w:val="IPPArialFootnote"/>
              <w:rPr>
                <w:noProof/>
              </w:rPr>
            </w:pPr>
            <w:r w:rsidRPr="001E1601">
              <w:rPr>
                <w:rStyle w:val="PleaseReviewParagraphId"/>
                <w:lang w:eastAsia="en-US"/>
              </w:rPr>
              <w:t>[354]</w:t>
            </w:r>
            <w:r w:rsidRPr="00584267">
              <w:rPr>
                <w:i/>
                <w:iCs/>
                <w:noProof/>
              </w:rPr>
              <w:t>Source:</w:t>
            </w:r>
            <w:r w:rsidRPr="001E1601">
              <w:rPr>
                <w:noProof/>
              </w:rPr>
              <w:t xml:space="preserve"> D. Navia, Institut National de Recherche pour l’Agriculture, l’Alimentation et l’Environnement, France and Q.-H. Fan, Plant Health &amp; Environment Laboratory, Biosecurity New Zealand, Ministry for Primary Industries, New Zealand.</w:t>
            </w:r>
          </w:p>
          <w:p w14:paraId="2F2B0D08" w14:textId="77777777" w:rsidR="00F65C91" w:rsidRPr="001E1601" w:rsidRDefault="00F65C91">
            <w:pPr>
              <w:rPr>
                <w:rFonts w:ascii="Arial" w:hAnsi="Arial" w:cs="Arial"/>
                <w:b/>
                <w:noProof/>
                <w:sz w:val="18"/>
                <w:szCs w:val="18"/>
              </w:rPr>
            </w:pPr>
          </w:p>
          <w:p w14:paraId="219FB929" w14:textId="77777777" w:rsidR="00F65C91" w:rsidRPr="001E1601" w:rsidRDefault="00F65C91">
            <w:pPr>
              <w:rPr>
                <w:rFonts w:ascii="Arial" w:hAnsi="Arial" w:cs="Arial"/>
                <w:b/>
                <w:noProof/>
                <w:sz w:val="18"/>
                <w:szCs w:val="18"/>
              </w:rPr>
            </w:pPr>
          </w:p>
          <w:p w14:paraId="6EDB2D47" w14:textId="77777777" w:rsidR="00E205C6" w:rsidRPr="001E1601" w:rsidRDefault="00E205C6">
            <w:pPr>
              <w:rPr>
                <w:rFonts w:ascii="Arial" w:hAnsi="Arial" w:cs="Arial"/>
                <w:b/>
                <w:noProof/>
                <w:sz w:val="18"/>
                <w:szCs w:val="18"/>
              </w:rPr>
            </w:pPr>
          </w:p>
          <w:p w14:paraId="1DDFAE3A" w14:textId="77777777" w:rsidR="00E205C6" w:rsidRPr="001E1601" w:rsidRDefault="00E205C6">
            <w:pPr>
              <w:rPr>
                <w:rFonts w:ascii="Arial" w:hAnsi="Arial" w:cs="Arial"/>
                <w:b/>
                <w:noProof/>
                <w:sz w:val="18"/>
                <w:szCs w:val="18"/>
              </w:rPr>
            </w:pPr>
          </w:p>
          <w:p w14:paraId="7C38F283" w14:textId="77777777" w:rsidR="0096052A" w:rsidRPr="001E1601" w:rsidRDefault="0096052A">
            <w:pPr>
              <w:rPr>
                <w:rFonts w:ascii="Arial" w:hAnsi="Arial" w:cs="Arial"/>
                <w:b/>
                <w:noProof/>
                <w:sz w:val="18"/>
                <w:szCs w:val="18"/>
              </w:rPr>
            </w:pPr>
          </w:p>
          <w:p w14:paraId="1AFE52ED" w14:textId="77777777" w:rsidR="0096052A" w:rsidRPr="001E1601" w:rsidRDefault="0096052A">
            <w:pPr>
              <w:rPr>
                <w:rFonts w:ascii="Arial" w:hAnsi="Arial" w:cs="Arial"/>
                <w:b/>
                <w:noProof/>
                <w:sz w:val="18"/>
                <w:szCs w:val="18"/>
              </w:rPr>
            </w:pPr>
          </w:p>
          <w:p w14:paraId="5E01BE6D" w14:textId="77777777" w:rsidR="0096052A" w:rsidRPr="001E1601" w:rsidRDefault="0096052A">
            <w:pPr>
              <w:rPr>
                <w:rFonts w:ascii="Arial" w:hAnsi="Arial" w:cs="Arial"/>
                <w:b/>
                <w:noProof/>
                <w:sz w:val="18"/>
                <w:szCs w:val="18"/>
              </w:rPr>
            </w:pPr>
          </w:p>
          <w:p w14:paraId="1CF384D7" w14:textId="77777777" w:rsidR="0096052A" w:rsidRPr="001E1601" w:rsidRDefault="0096052A">
            <w:pPr>
              <w:rPr>
                <w:rFonts w:ascii="Arial" w:hAnsi="Arial" w:cs="Arial"/>
                <w:b/>
                <w:noProof/>
                <w:sz w:val="18"/>
                <w:szCs w:val="18"/>
              </w:rPr>
            </w:pPr>
          </w:p>
          <w:p w14:paraId="078F17CA" w14:textId="77777777" w:rsidR="00F65C91" w:rsidRPr="001E1601" w:rsidRDefault="00F65C91">
            <w:r w:rsidRPr="001E1601">
              <w:rPr>
                <w:noProof/>
                <w:lang w:val="en-US"/>
              </w:rPr>
              <w:lastRenderedPageBreak/>
              <w:drawing>
                <wp:inline distT="0" distB="0" distL="0" distR="0" wp14:anchorId="3B28ADF1" wp14:editId="6244F03F">
                  <wp:extent cx="5572800" cy="3672000"/>
                  <wp:effectExtent l="0" t="0" r="889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2800" cy="3672000"/>
                          </a:xfrm>
                          <a:prstGeom prst="rect">
                            <a:avLst/>
                          </a:prstGeom>
                          <a:noFill/>
                        </pic:spPr>
                      </pic:pic>
                    </a:graphicData>
                  </a:graphic>
                </wp:inline>
              </w:drawing>
            </w:r>
          </w:p>
          <w:p w14:paraId="5985C89E" w14:textId="77777777" w:rsidR="00290703" w:rsidRPr="001E1601" w:rsidRDefault="00290703" w:rsidP="00A10AC2">
            <w:pPr>
              <w:pStyle w:val="IPPArial"/>
              <w:rPr>
                <w:rStyle w:val="PleaseReviewParagraphId"/>
                <w:lang w:eastAsia="en-US"/>
              </w:rPr>
            </w:pPr>
          </w:p>
          <w:p w14:paraId="17905536" w14:textId="79D83EA2" w:rsidR="00F65C91" w:rsidRPr="001E1601" w:rsidRDefault="00F65C91" w:rsidP="00A10AC2">
            <w:pPr>
              <w:pStyle w:val="IPPArial"/>
            </w:pPr>
            <w:r w:rsidRPr="00584267">
              <w:rPr>
                <w:b/>
                <w:bCs/>
              </w:rPr>
              <w:t>Figure 12.</w:t>
            </w:r>
            <w:r w:rsidRPr="001E1601">
              <w:t xml:space="preserve"> Infracapitulum and palp</w:t>
            </w:r>
            <w:r w:rsidR="003E6628" w:rsidRPr="001E1601">
              <w:t>s</w:t>
            </w:r>
            <w:r w:rsidRPr="001E1601">
              <w:t xml:space="preserve"> of adult females of </w:t>
            </w:r>
            <w:r w:rsidRPr="00584267">
              <w:rPr>
                <w:i/>
                <w:iCs/>
              </w:rPr>
              <w:t>Mononychellus</w:t>
            </w:r>
            <w:r w:rsidRPr="001E1601">
              <w:t xml:space="preserve"> spp.</w:t>
            </w:r>
            <w:r w:rsidR="00111FFA" w:rsidRPr="001E1601">
              <w:t>:</w:t>
            </w:r>
            <w:r w:rsidRPr="001E1601">
              <w:t xml:space="preserve"> (A) </w:t>
            </w:r>
            <w:r w:rsidRPr="00584267">
              <w:rPr>
                <w:i/>
                <w:iCs/>
              </w:rPr>
              <w:t>M.</w:t>
            </w:r>
            <w:r w:rsidR="00111FFA" w:rsidRPr="00584267">
              <w:rPr>
                <w:i/>
                <w:iCs/>
              </w:rPr>
              <w:t> </w:t>
            </w:r>
            <w:r w:rsidRPr="00584267">
              <w:rPr>
                <w:i/>
                <w:iCs/>
              </w:rPr>
              <w:t>bondari</w:t>
            </w:r>
            <w:r w:rsidRPr="001E1601">
              <w:t xml:space="preserve">; (B) </w:t>
            </w:r>
            <w:r w:rsidRPr="00584267">
              <w:rPr>
                <w:i/>
                <w:iCs/>
              </w:rPr>
              <w:t>M.</w:t>
            </w:r>
            <w:r w:rsidR="00111FFA" w:rsidRPr="00584267">
              <w:rPr>
                <w:i/>
                <w:iCs/>
              </w:rPr>
              <w:t> </w:t>
            </w:r>
            <w:r w:rsidRPr="00584267">
              <w:rPr>
                <w:i/>
                <w:iCs/>
              </w:rPr>
              <w:t>caribbeanae</w:t>
            </w:r>
            <w:r w:rsidRPr="001E1601">
              <w:t xml:space="preserve">; (C) </w:t>
            </w:r>
            <w:r w:rsidRPr="00584267">
              <w:rPr>
                <w:i/>
                <w:iCs/>
              </w:rPr>
              <w:t>M.</w:t>
            </w:r>
            <w:r w:rsidR="00111FFA" w:rsidRPr="00584267">
              <w:rPr>
                <w:i/>
                <w:iCs/>
              </w:rPr>
              <w:t> </w:t>
            </w:r>
            <w:r w:rsidRPr="00584267">
              <w:rPr>
                <w:i/>
                <w:iCs/>
              </w:rPr>
              <w:t>chemosetosus</w:t>
            </w:r>
            <w:r w:rsidRPr="001E1601">
              <w:t xml:space="preserve">; (D) </w:t>
            </w:r>
            <w:r w:rsidRPr="00584267">
              <w:rPr>
                <w:i/>
                <w:iCs/>
              </w:rPr>
              <w:t>M.</w:t>
            </w:r>
            <w:r w:rsidR="00111FFA" w:rsidRPr="00584267">
              <w:rPr>
                <w:i/>
                <w:iCs/>
              </w:rPr>
              <w:t> </w:t>
            </w:r>
            <w:r w:rsidRPr="00584267">
              <w:rPr>
                <w:i/>
                <w:iCs/>
              </w:rPr>
              <w:t>mcgregori</w:t>
            </w:r>
            <w:r w:rsidRPr="001E1601">
              <w:t xml:space="preserve">; (E) </w:t>
            </w:r>
            <w:r w:rsidRPr="00584267">
              <w:rPr>
                <w:i/>
                <w:iCs/>
              </w:rPr>
              <w:t>M.</w:t>
            </w:r>
            <w:r w:rsidR="00111FFA" w:rsidRPr="00584267">
              <w:rPr>
                <w:i/>
                <w:iCs/>
              </w:rPr>
              <w:t> </w:t>
            </w:r>
            <w:r w:rsidRPr="00584267">
              <w:rPr>
                <w:i/>
                <w:iCs/>
              </w:rPr>
              <w:t>planki</w:t>
            </w:r>
            <w:r w:rsidRPr="001E1601">
              <w:t xml:space="preserve">; (F) </w:t>
            </w:r>
            <w:r w:rsidRPr="00584267">
              <w:rPr>
                <w:i/>
                <w:iCs/>
              </w:rPr>
              <w:t>M.</w:t>
            </w:r>
            <w:r w:rsidR="00111FFA" w:rsidRPr="00584267">
              <w:rPr>
                <w:i/>
                <w:iCs/>
              </w:rPr>
              <w:t> </w:t>
            </w:r>
            <w:r w:rsidRPr="00584267">
              <w:rPr>
                <w:i/>
                <w:iCs/>
              </w:rPr>
              <w:t>tanajoa</w:t>
            </w:r>
            <w:r w:rsidRPr="001E1601">
              <w:t>.</w:t>
            </w:r>
          </w:p>
          <w:p w14:paraId="1721AE45" w14:textId="77E7CBB4" w:rsidR="00F65C91" w:rsidRPr="001E1601" w:rsidRDefault="00F65C91" w:rsidP="00A10AC2">
            <w:pPr>
              <w:pStyle w:val="IPPArialFootnote"/>
            </w:pPr>
            <w:r w:rsidRPr="001E1601">
              <w:rPr>
                <w:rStyle w:val="PleaseReviewParagraphId"/>
                <w:lang w:eastAsia="en-US"/>
              </w:rPr>
              <w:t>[357</w:t>
            </w:r>
            <w:r w:rsidRPr="00584267">
              <w:rPr>
                <w:rStyle w:val="PleaseReviewParagraphId"/>
                <w:i/>
                <w:iCs/>
              </w:rPr>
              <w:t>]</w:t>
            </w:r>
            <w:r w:rsidRPr="00584267">
              <w:rPr>
                <w:i/>
                <w:iCs/>
              </w:rPr>
              <w:t>Source:</w:t>
            </w:r>
            <w:r w:rsidRPr="001E1601">
              <w:t xml:space="preserve"> D. Navia, Institut National de Recherche pour l’Agriculture, l’Alimentation et l’Environnement, France and Q.-H. Fan, Plant Health &amp; Environment Laboratory, Biosecurity New Zealand, Ministry for Primary Industries, New Zealand.</w:t>
            </w:r>
          </w:p>
          <w:p w14:paraId="022742A5" w14:textId="77777777" w:rsidR="00F65C91" w:rsidRPr="001E1601" w:rsidRDefault="00F65C91"/>
          <w:p w14:paraId="3734628C" w14:textId="77777777" w:rsidR="00F65C91" w:rsidRPr="001E1601" w:rsidRDefault="00F65C91"/>
          <w:p w14:paraId="6FB56DF3" w14:textId="77777777" w:rsidR="00F65C91" w:rsidRPr="001E1601" w:rsidRDefault="00F65C91">
            <w:r w:rsidRPr="001E1601">
              <w:rPr>
                <w:noProof/>
                <w:lang w:val="en-US"/>
              </w:rPr>
              <w:drawing>
                <wp:inline distT="0" distB="0" distL="0" distR="0" wp14:anchorId="5029A7A0" wp14:editId="69108E79">
                  <wp:extent cx="5797550" cy="213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97550" cy="2133600"/>
                          </a:xfrm>
                          <a:prstGeom prst="rect">
                            <a:avLst/>
                          </a:prstGeom>
                          <a:noFill/>
                        </pic:spPr>
                      </pic:pic>
                    </a:graphicData>
                  </a:graphic>
                </wp:inline>
              </w:drawing>
            </w:r>
          </w:p>
          <w:p w14:paraId="1E47F2FF" w14:textId="77777777" w:rsidR="00F65C91" w:rsidRPr="001E1601" w:rsidRDefault="00F65C91"/>
          <w:p w14:paraId="4941F3E2" w14:textId="613F02FC" w:rsidR="00F65C91" w:rsidRPr="001E1601" w:rsidRDefault="00F65C91" w:rsidP="00A10AC2">
            <w:pPr>
              <w:pStyle w:val="IPPArial"/>
            </w:pPr>
            <w:r w:rsidRPr="001E1601">
              <w:rPr>
                <w:rStyle w:val="PleaseReviewParagraphId"/>
                <w:lang w:eastAsia="en-US"/>
              </w:rPr>
              <w:t>[339]</w:t>
            </w:r>
            <w:r w:rsidRPr="00584267">
              <w:rPr>
                <w:b/>
                <w:bCs/>
              </w:rPr>
              <w:t>Figure 13</w:t>
            </w:r>
            <w:r w:rsidR="0096052A" w:rsidRPr="00584267">
              <w:rPr>
                <w:b/>
                <w:bCs/>
              </w:rPr>
              <w:t>.</w:t>
            </w:r>
            <w:r w:rsidRPr="001E1601">
              <w:t xml:space="preserve"> </w:t>
            </w:r>
            <w:r w:rsidRPr="00584267">
              <w:rPr>
                <w:i/>
                <w:iCs/>
              </w:rPr>
              <w:t>Mononychellus tanajoa</w:t>
            </w:r>
            <w:r w:rsidRPr="001E1601">
              <w:t>, lateral view of aedeagus: (A) photograph; (B) line drawing</w:t>
            </w:r>
            <w:r w:rsidR="0096052A" w:rsidRPr="001E1601">
              <w:t>.</w:t>
            </w:r>
          </w:p>
          <w:p w14:paraId="0235F760" w14:textId="127EA62A" w:rsidR="00F65C91" w:rsidRPr="001E1601" w:rsidRDefault="00F65C91" w:rsidP="00A10AC2">
            <w:pPr>
              <w:pStyle w:val="IPPArialFootnote"/>
            </w:pPr>
            <w:r w:rsidRPr="001E1601">
              <w:rPr>
                <w:rStyle w:val="PleaseReviewParagraphId"/>
                <w:lang w:eastAsia="en-US"/>
              </w:rPr>
              <w:t>[340]</w:t>
            </w:r>
            <w:r w:rsidRPr="00584267">
              <w:rPr>
                <w:i/>
                <w:iCs/>
              </w:rPr>
              <w:t>Source:</w:t>
            </w:r>
            <w:r w:rsidRPr="001E1601">
              <w:t xml:space="preserve"> D. Navia, Institut National de Recherche pour l’Agriculture, l’Alimentation et l’Environnement, France and Q.-H. Fan, Plant Health &amp; Environment Laboratory, Biosecurity New Zealand, Ministry for Primary Industries, New Zealand.</w:t>
            </w:r>
          </w:p>
          <w:p w14:paraId="6B5FE248" w14:textId="77777777" w:rsidR="00F65C91" w:rsidRPr="001E1601" w:rsidRDefault="00F65C91">
            <w:r w:rsidRPr="001E1601">
              <w:rPr>
                <w:rStyle w:val="PleaseReviewParagraphId"/>
                <w:rFonts w:eastAsia="Times"/>
                <w:lang w:eastAsia="en-US"/>
              </w:rPr>
              <w:t>[341]</w:t>
            </w:r>
          </w:p>
          <w:p w14:paraId="5878DE24" w14:textId="77777777" w:rsidR="00F65C91" w:rsidRPr="001E1601" w:rsidRDefault="00F65C91"/>
          <w:p w14:paraId="2FEEF0E8" w14:textId="77777777" w:rsidR="00F65C91" w:rsidRPr="001E1601" w:rsidRDefault="00F65C91"/>
          <w:p w14:paraId="7C9CC859" w14:textId="77777777" w:rsidR="00F65C91" w:rsidRPr="001E1601" w:rsidRDefault="00F65C91">
            <w:r w:rsidRPr="001E1601">
              <w:rPr>
                <w:noProof/>
                <w:lang w:val="en-US"/>
              </w:rPr>
              <w:lastRenderedPageBreak/>
              <w:drawing>
                <wp:inline distT="0" distB="0" distL="0" distR="0" wp14:anchorId="3B36A0A2" wp14:editId="3D515AE4">
                  <wp:extent cx="5612400" cy="2700000"/>
                  <wp:effectExtent l="0" t="0" r="762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12400" cy="2700000"/>
                          </a:xfrm>
                          <a:prstGeom prst="rect">
                            <a:avLst/>
                          </a:prstGeom>
                          <a:noFill/>
                        </pic:spPr>
                      </pic:pic>
                    </a:graphicData>
                  </a:graphic>
                </wp:inline>
              </w:drawing>
            </w:r>
          </w:p>
          <w:p w14:paraId="25BEF6E5" w14:textId="77777777" w:rsidR="00F65C91" w:rsidRPr="001E1601" w:rsidRDefault="00F65C91"/>
          <w:p w14:paraId="2A126CB6" w14:textId="79CB8638" w:rsidR="00F65C91" w:rsidRPr="001E1601" w:rsidRDefault="00F65C91" w:rsidP="00A10AC2">
            <w:pPr>
              <w:pStyle w:val="IPPArial"/>
            </w:pPr>
            <w:r w:rsidRPr="001E1601">
              <w:rPr>
                <w:rStyle w:val="PleaseReviewParagraphId"/>
                <w:lang w:eastAsia="en-US"/>
              </w:rPr>
              <w:t>[359]</w:t>
            </w:r>
            <w:r w:rsidRPr="00584267">
              <w:rPr>
                <w:b/>
                <w:bCs/>
              </w:rPr>
              <w:t>Figure 14.</w:t>
            </w:r>
            <w:r w:rsidRPr="001E1601">
              <w:t xml:space="preserve"> Aedeagi of adult males of </w:t>
            </w:r>
            <w:r w:rsidRPr="00584267">
              <w:rPr>
                <w:i/>
                <w:iCs/>
              </w:rPr>
              <w:t>Mononychellus</w:t>
            </w:r>
            <w:r w:rsidRPr="001E1601">
              <w:t xml:space="preserve"> spp. (A) </w:t>
            </w:r>
            <w:r w:rsidRPr="00584267">
              <w:rPr>
                <w:i/>
                <w:iCs/>
              </w:rPr>
              <w:t>M.</w:t>
            </w:r>
            <w:r w:rsidR="00F549CB" w:rsidRPr="00584267">
              <w:rPr>
                <w:i/>
                <w:iCs/>
              </w:rPr>
              <w:t> </w:t>
            </w:r>
            <w:r w:rsidRPr="00584267">
              <w:rPr>
                <w:i/>
                <w:iCs/>
              </w:rPr>
              <w:t>bondari</w:t>
            </w:r>
            <w:r w:rsidRPr="001E1601">
              <w:t xml:space="preserve">; (B) </w:t>
            </w:r>
            <w:r w:rsidRPr="00584267">
              <w:rPr>
                <w:i/>
                <w:iCs/>
              </w:rPr>
              <w:t>M.</w:t>
            </w:r>
            <w:r w:rsidR="00F549CB" w:rsidRPr="00584267">
              <w:rPr>
                <w:i/>
                <w:iCs/>
              </w:rPr>
              <w:t> </w:t>
            </w:r>
            <w:r w:rsidRPr="00584267">
              <w:rPr>
                <w:i/>
                <w:iCs/>
              </w:rPr>
              <w:t>chemosetosus</w:t>
            </w:r>
            <w:r w:rsidRPr="001E1601">
              <w:t xml:space="preserve">; (C) </w:t>
            </w:r>
            <w:r w:rsidRPr="00584267">
              <w:rPr>
                <w:i/>
                <w:iCs/>
              </w:rPr>
              <w:t>M.</w:t>
            </w:r>
            <w:r w:rsidR="00F549CB" w:rsidRPr="00584267">
              <w:rPr>
                <w:i/>
                <w:iCs/>
              </w:rPr>
              <w:t> </w:t>
            </w:r>
            <w:r w:rsidRPr="00584267">
              <w:rPr>
                <w:i/>
                <w:iCs/>
              </w:rPr>
              <w:t>mcgregori</w:t>
            </w:r>
            <w:r w:rsidRPr="001E1601">
              <w:t xml:space="preserve">; (D) </w:t>
            </w:r>
            <w:r w:rsidRPr="00584267">
              <w:rPr>
                <w:i/>
                <w:iCs/>
              </w:rPr>
              <w:t>M.</w:t>
            </w:r>
            <w:r w:rsidR="00F549CB" w:rsidRPr="00584267">
              <w:rPr>
                <w:i/>
                <w:iCs/>
              </w:rPr>
              <w:t> </w:t>
            </w:r>
            <w:r w:rsidRPr="00584267">
              <w:rPr>
                <w:i/>
                <w:iCs/>
              </w:rPr>
              <w:t>planki</w:t>
            </w:r>
            <w:r w:rsidRPr="001E1601">
              <w:t>.</w:t>
            </w:r>
          </w:p>
          <w:p w14:paraId="1FE13A77" w14:textId="0FE9061C" w:rsidR="00F65C91" w:rsidRPr="001E1601" w:rsidRDefault="00F65C91" w:rsidP="00A10AC2">
            <w:pPr>
              <w:pStyle w:val="IPPArialFootnote"/>
            </w:pPr>
            <w:r w:rsidRPr="001E1601">
              <w:rPr>
                <w:rStyle w:val="PleaseReviewParagraphId"/>
                <w:lang w:eastAsia="en-US"/>
              </w:rPr>
              <w:t>[360]</w:t>
            </w:r>
            <w:r w:rsidRPr="00584267">
              <w:rPr>
                <w:i/>
                <w:iCs/>
              </w:rPr>
              <w:t>Source:</w:t>
            </w:r>
            <w:r w:rsidRPr="001E1601">
              <w:t xml:space="preserve"> D. Navia, Institut National de Recherche pour l’Agriculture, l’Alimentation et l’Environnement, France and Q.-H. Fan, Plant Health &amp; Environment Laboratory, Biosecurity New Zealand, Ministry for Primary Industries, New Zealand.</w:t>
            </w:r>
          </w:p>
          <w:p w14:paraId="2C4D8AAE" w14:textId="35CE0B4E" w:rsidR="00607AF1" w:rsidRPr="001E1601" w:rsidRDefault="00607AF1"/>
          <w:p w14:paraId="3C947DDC" w14:textId="77777777" w:rsidR="00607AF1" w:rsidRPr="001E1601" w:rsidRDefault="00607AF1"/>
          <w:p w14:paraId="1E8CB17D" w14:textId="77777777" w:rsidR="00F65C91" w:rsidRPr="001E1601" w:rsidRDefault="00F65C91">
            <w:r w:rsidRPr="001E1601">
              <w:rPr>
                <w:noProof/>
                <w:lang w:val="en-US"/>
              </w:rPr>
              <w:drawing>
                <wp:inline distT="0" distB="0" distL="0" distR="0" wp14:anchorId="2AFA8866" wp14:editId="47FB6339">
                  <wp:extent cx="5641200" cy="3376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5.jpg"/>
                          <pic:cNvPicPr/>
                        </pic:nvPicPr>
                        <pic:blipFill>
                          <a:blip r:embed="rId73">
                            <a:extLst>
                              <a:ext uri="{28A0092B-C50C-407E-A947-70E740481C1C}">
                                <a14:useLocalDpi xmlns:a14="http://schemas.microsoft.com/office/drawing/2010/main" val="0"/>
                              </a:ext>
                            </a:extLst>
                          </a:blip>
                          <a:stretch>
                            <a:fillRect/>
                          </a:stretch>
                        </pic:blipFill>
                        <pic:spPr>
                          <a:xfrm>
                            <a:off x="0" y="0"/>
                            <a:ext cx="5641200" cy="3376800"/>
                          </a:xfrm>
                          <a:prstGeom prst="rect">
                            <a:avLst/>
                          </a:prstGeom>
                        </pic:spPr>
                      </pic:pic>
                    </a:graphicData>
                  </a:graphic>
                </wp:inline>
              </w:drawing>
            </w:r>
          </w:p>
          <w:p w14:paraId="0A1A64C1" w14:textId="77777777" w:rsidR="00F65C91" w:rsidRPr="001E1601" w:rsidRDefault="00F65C91">
            <w:pPr>
              <w:rPr>
                <w:rFonts w:ascii="Arial" w:hAnsi="Arial" w:cs="Arial"/>
                <w:b/>
                <w:sz w:val="18"/>
                <w:szCs w:val="18"/>
              </w:rPr>
            </w:pPr>
          </w:p>
        </w:tc>
      </w:tr>
      <w:tr w:rsidR="00F65C91" w:rsidRPr="001E1601" w14:paraId="4E9ED4E0" w14:textId="77777777" w:rsidTr="00584267">
        <w:tc>
          <w:tcPr>
            <w:tcW w:w="9071" w:type="dxa"/>
          </w:tcPr>
          <w:p w14:paraId="2B7D2FA5" w14:textId="52937005" w:rsidR="00F65C91" w:rsidRPr="001E1601" w:rsidRDefault="00F65C91" w:rsidP="00A10AC2">
            <w:pPr>
              <w:pStyle w:val="IPPArial"/>
            </w:pPr>
            <w:r w:rsidRPr="001E1601">
              <w:rPr>
                <w:rStyle w:val="PleaseReviewParagraphId"/>
              </w:rPr>
              <w:lastRenderedPageBreak/>
              <w:t>[330]</w:t>
            </w:r>
            <w:r w:rsidRPr="001E1601">
              <w:rPr>
                <w:b/>
                <w:bCs/>
              </w:rPr>
              <w:t xml:space="preserve">Figure 15. </w:t>
            </w:r>
            <w:r w:rsidRPr="001E1601">
              <w:rPr>
                <w:i/>
                <w:iCs/>
              </w:rPr>
              <w:t>Mononychellus tanajoa</w:t>
            </w:r>
            <w:r w:rsidRPr="001E1601">
              <w:t>:</w:t>
            </w:r>
            <w:r w:rsidR="00F549CB" w:rsidRPr="001E1601">
              <w:t xml:space="preserve"> </w:t>
            </w:r>
            <w:r w:rsidRPr="001E1601">
              <w:t>(A</w:t>
            </w:r>
            <w:r w:rsidR="00F549CB" w:rsidRPr="001E1601">
              <w:t>–</w:t>
            </w:r>
            <w:r w:rsidRPr="001E1601">
              <w:t>C) variation of prodorsal striation in adult female;</w:t>
            </w:r>
            <w:r w:rsidR="00B23F0F" w:rsidRPr="001E1601">
              <w:t xml:space="preserve"> </w:t>
            </w:r>
            <w:r w:rsidRPr="001E1601">
              <w:t>(D</w:t>
            </w:r>
            <w:r w:rsidR="00F549CB" w:rsidRPr="001E1601">
              <w:t>–</w:t>
            </w:r>
            <w:r w:rsidRPr="001E1601">
              <w:t>F) hysterosoma.</w:t>
            </w:r>
          </w:p>
          <w:p w14:paraId="3A439B05" w14:textId="7D3D4562" w:rsidR="00F65C91" w:rsidRPr="001E1601" w:rsidRDefault="00F65C91" w:rsidP="00A10AC2">
            <w:pPr>
              <w:pStyle w:val="IPPArialFootnote"/>
              <w:rPr>
                <w:b/>
              </w:rPr>
            </w:pPr>
            <w:r w:rsidRPr="001E1601">
              <w:rPr>
                <w:rStyle w:val="PleaseReviewParagraphId"/>
              </w:rPr>
              <w:t>[331]</w:t>
            </w:r>
            <w:r w:rsidRPr="00584267">
              <w:rPr>
                <w:i/>
                <w:iCs/>
              </w:rPr>
              <w:t>Source:</w:t>
            </w:r>
            <w:r w:rsidRPr="001E1601">
              <w:t xml:space="preserve"> D. Navia, Institut National de Recherche pour l’Agriculture, l’Alimentation et l’Environnement, France and Q.-H. Fan, Plant Health &amp; Environment Laboratory, Biosecurity New Zealand, Ministry for Primary Industries, New Zealand.</w:t>
            </w:r>
          </w:p>
        </w:tc>
      </w:tr>
    </w:tbl>
    <w:p w14:paraId="5C59B43C" w14:textId="3490A342" w:rsidR="00033E29" w:rsidRPr="001E1601" w:rsidRDefault="00033E29" w:rsidP="00F57BF6">
      <w:pPr>
        <w:pStyle w:val="IPPParagraphnumbering"/>
        <w:tabs>
          <w:tab w:val="clear" w:pos="0"/>
        </w:tabs>
        <w:suppressAutoHyphens/>
        <w:ind w:firstLine="0"/>
        <w:rPr>
          <w:rFonts w:ascii="Arial" w:hAnsi="Arial" w:cs="Arial"/>
          <w:sz w:val="18"/>
          <w:szCs w:val="18"/>
          <w:lang w:val="en-GB"/>
        </w:rPr>
      </w:pPr>
    </w:p>
    <w:sectPr w:rsidR="00033E29" w:rsidRPr="001E1601" w:rsidSect="00EC10E2">
      <w:headerReference w:type="even" r:id="rId74"/>
      <w:headerReference w:type="default" r:id="rId75"/>
      <w:footerReference w:type="even" r:id="rId76"/>
      <w:footerReference w:type="default" r:id="rId77"/>
      <w:headerReference w:type="first" r:id="rId78"/>
      <w:footerReference w:type="first" r:id="rId79"/>
      <w:pgSz w:w="11907" w:h="16840" w:code="9"/>
      <w:pgMar w:top="1559" w:right="1418" w:bottom="1418" w:left="1418" w:header="851" w:footer="851" w:gutter="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8BC5D" w16cex:dateUtc="2023-04-30T09:05:00Z"/>
  <w16cex:commentExtensible w16cex:durableId="27F8BC5E" w16cex:dateUtc="2023-04-30T09:06:00Z"/>
  <w16cex:commentExtensible w16cex:durableId="27F8C0A7" w16cex:dateUtc="2023-04-30T09:25:00Z"/>
  <w16cex:commentExtensible w16cex:durableId="28063028" w16cex:dateUtc="2023-04-30T09:17:00Z"/>
  <w16cex:commentExtensible w16cex:durableId="28063027" w16cex:dateUtc="2023-05-10T18:00:00Z"/>
  <w16cex:commentExtensible w16cex:durableId="27F8BF46" w16cex:dateUtc="2023-04-30T09:19:00Z"/>
  <w16cex:commentExtensible w16cex:durableId="27FA057F" w16cex:dateUtc="2023-05-01T08:31:00Z"/>
  <w16cex:commentExtensible w16cex:durableId="27FF8707" w16cex:dateUtc="2023-05-05T16:45:00Z"/>
  <w16cex:commentExtensible w16cex:durableId="27FA0766" w16cex:dateUtc="2023-05-01T08:39:00Z"/>
  <w16cex:commentExtensible w16cex:durableId="27FA0BE9" w16cex:dateUtc="2023-05-01T08:59:00Z"/>
  <w16cex:commentExtensible w16cex:durableId="280631FA" w16cex:dateUtc="2023-05-10T18:08:00Z"/>
  <w16cex:commentExtensible w16cex:durableId="27FA0E23" w16cex:dateUtc="2023-05-01T09:08:00Z"/>
  <w16cex:commentExtensible w16cex:durableId="27FE442E" w16cex:dateUtc="2023-05-04T13:48:00Z"/>
  <w16cex:commentExtensible w16cex:durableId="28063410" w16cex:dateUtc="2023-05-10T18:17:00Z"/>
  <w16cex:commentExtensible w16cex:durableId="27FA3636" w16cex:dateUtc="2023-05-01T11:59:00Z"/>
  <w16cex:commentExtensible w16cex:durableId="27FA2278" w16cex:dateUtc="2023-05-01T10:35:00Z"/>
  <w16cex:commentExtensible w16cex:durableId="28064722" w16cex:dateUtc="2023-05-10T19:38:00Z"/>
  <w16cex:commentExtensible w16cex:durableId="27FA2AE7" w16cex:dateUtc="2023-05-01T11:11:00Z"/>
  <w16cex:commentExtensible w16cex:durableId="280647ED" w16cex:dateUtc="2023-05-10T19:42:00Z"/>
  <w16cex:commentExtensible w16cex:durableId="27FE81D7" w16cex:dateUtc="2023-05-04T18:11:00Z"/>
  <w16cex:commentExtensible w16cex:durableId="28064816" w16cex:dateUtc="2023-05-10T19:43:00Z"/>
  <w16cex:commentExtensible w16cex:durableId="27FA359B" w16cex:dateUtc="2023-05-01T11:56:00Z"/>
  <w16cex:commentExtensible w16cex:durableId="28064D46" w16cex:dateUtc="2023-05-10T20:05:00Z"/>
  <w16cex:commentExtensible w16cex:durableId="27FC0415" w16cex:dateUtc="2023-05-02T20:46:00Z"/>
  <w16cex:commentExtensible w16cex:durableId="27FA3801" w16cex:dateUtc="2023-05-01T12:07:00Z"/>
  <w16cex:commentExtensible w16cex:durableId="28064D63" w16cex:dateUtc="2023-05-10T20:05:00Z"/>
  <w16cex:commentExtensible w16cex:durableId="27FA3D9B" w16cex:dateUtc="2023-05-01T12:31:00Z"/>
  <w16cex:commentExtensible w16cex:durableId="280DD1E4" w16cex:dateUtc="2023-05-16T12:56:00Z"/>
  <w16cex:commentExtensible w16cex:durableId="27FC0677" w16cex:dateUtc="2023-05-02T21:00:00Z"/>
  <w16cex:commentExtensible w16cex:durableId="27FA5464" w16cex:dateUtc="2023-05-01T14:08:00Z"/>
  <w16cex:commentExtensible w16cex:durableId="27FA57EC" w16cex:dateUtc="2023-05-01T14:23:00Z"/>
  <w16cex:commentExtensible w16cex:durableId="280DF7FB" w16cex:dateUtc="2023-05-16T15:39:00Z"/>
  <w16cex:commentExtensible w16cex:durableId="27FA5B14" w16cex:dateUtc="2023-05-01T14:36:00Z"/>
  <w16cex:commentExtensible w16cex:durableId="280DF818" w16cex:dateUtc="2023-05-16T15:39:00Z"/>
  <w16cex:commentExtensible w16cex:durableId="27FA96BC" w16cex:dateUtc="2023-05-01T18:51:00Z"/>
  <w16cex:commentExtensible w16cex:durableId="280DF833" w16cex:dateUtc="2023-05-16T15:40:00Z"/>
  <w16cex:commentExtensible w16cex:durableId="27FAC471" w16cex:dateUtc="2023-05-01T22:06:00Z"/>
  <w16cex:commentExtensible w16cex:durableId="27FAA1C6" w16cex:dateUtc="2023-05-01T19:38:00Z"/>
  <w16cex:commentExtensible w16cex:durableId="280DF9B2" w16cex:dateUtc="2023-05-16T15:46:00Z"/>
  <w16cex:commentExtensible w16cex:durableId="27FABD4A" w16cex:dateUtc="2023-05-01T21:35:00Z"/>
  <w16cex:commentExtensible w16cex:durableId="27FABE84" w16cex:dateUtc="2023-05-01T21:41:00Z"/>
  <w16cex:commentExtensible w16cex:durableId="280E3E5D" w16cex:dateUtc="2023-05-16T20:39:00Z"/>
  <w16cex:commentExtensible w16cex:durableId="27FAC80D" w16cex:dateUtc="2023-05-01T22:21:00Z"/>
  <w16cex:commentExtensible w16cex:durableId="280E45E0" w16cex:dateUtc="2023-05-16T21:11:00Z"/>
  <w16cex:commentExtensible w16cex:durableId="27FC04C4" w16cex:dateUtc="2023-05-02T20:50:00Z"/>
  <w16cex:commentExtensible w16cex:durableId="280F49FF" w16cex:dateUtc="2023-05-17T15:41:00Z"/>
  <w16cex:commentExtensible w16cex:durableId="27FAD05E" w16cex:dateUtc="2023-05-01T22:51:00Z"/>
  <w16cex:commentExtensible w16cex:durableId="280E4697" w16cex:dateUtc="2023-05-16T21:14:00Z"/>
  <w16cex:commentExtensible w16cex:durableId="27FACC98" w16cex:dateUtc="2023-05-01T22:41:00Z"/>
  <w16cex:commentExtensible w16cex:durableId="280E468C" w16cex:dateUtc="2023-05-16T21:14:00Z"/>
  <w16cex:commentExtensible w16cex:durableId="27FC04C3" w16cex:dateUtc="2023-05-02T20:49:00Z"/>
  <w16cex:commentExtensible w16cex:durableId="27FE44DC" w16cex:dateUtc="2023-05-04T13:51:00Z"/>
  <w16cex:commentExtensible w16cex:durableId="27FBDD41" w16cex:dateUtc="2023-05-02T18:04:00Z"/>
  <w16cex:commentExtensible w16cex:durableId="27FAD424" w16cex:dateUtc="2023-05-01T23:13:00Z"/>
  <w16cex:commentExtensible w16cex:durableId="280F4A77" w16cex:dateUtc="2023-05-17T15:43:00Z"/>
  <w16cex:commentExtensible w16cex:durableId="27FAD465" w16cex:dateUtc="2023-05-01T23:14:00Z"/>
  <w16cex:commentExtensible w16cex:durableId="280F4A83" w16cex:dateUtc="2023-05-17T15:43:00Z"/>
  <w16cex:commentExtensible w16cex:durableId="27FAD647" w16cex:dateUtc="2023-05-01T23:22:00Z"/>
  <w16cex:commentExtensible w16cex:durableId="280F4A8E" w16cex:dateUtc="2023-05-17T15:43:00Z"/>
  <w16cex:commentExtensible w16cex:durableId="27FE83FD" w16cex:dateUtc="2023-05-04T18:20:00Z"/>
  <w16cex:commentExtensible w16cex:durableId="280E4739" w16cex:dateUtc="2023-05-16T21:17:00Z"/>
  <w16cex:commentExtensible w16cex:durableId="27F8C4ED" w16cex:dateUtc="2023-04-30T09:43:00Z"/>
  <w16cex:commentExtensible w16cex:durableId="280E4808" w16cex:dateUtc="2023-05-16T21:20:00Z"/>
  <w16cex:commentExtensible w16cex:durableId="27F8C790" w16cex:dateUtc="2023-04-30T09:55:00Z"/>
  <w16cex:commentExtensible w16cex:durableId="280E4829" w16cex:dateUtc="2023-05-16T21:21:00Z"/>
  <w16cex:commentExtensible w16cex:durableId="27F8BEC0" w16cex:dateUtc="2023-04-30T09:17:00Z"/>
  <w16cex:commentExtensible w16cex:durableId="2806300F" w16cex:dateUtc="2023-05-10T18:00:00Z"/>
  <w16cex:commentExtensible w16cex:durableId="27F95FE9" w16cex:dateUtc="2023-04-30T20:43:00Z"/>
  <w16cex:commentExtensible w16cex:durableId="280F4A9A" w16cex:dateUtc="2023-05-17T15:44:00Z"/>
  <w16cex:commentExtensible w16cex:durableId="27F96014" w16cex:dateUtc="2023-04-30T20:45:00Z"/>
  <w16cex:commentExtensible w16cex:durableId="280F4AA0" w16cex:dateUtc="2023-05-17T15:44:00Z"/>
  <w16cex:commentExtensible w16cex:durableId="27FE86DB" w16cex:dateUtc="2023-05-04T18:32:00Z"/>
  <w16cex:commentExtensible w16cex:durableId="27FB875C" w16cex:dateUtc="2023-05-02T11:58:00Z"/>
  <w16cex:commentExtensible w16cex:durableId="280F4ADD" w16cex:dateUtc="2023-05-17T15:45:00Z"/>
  <w16cex:commentExtensible w16cex:durableId="27FBB8EF" w16cex:dateUtc="2023-05-02T15:29:00Z"/>
  <w16cex:commentExtensible w16cex:durableId="280E4A08" w16cex:dateUtc="2023-05-16T21:29:00Z"/>
  <w16cex:commentExtensible w16cex:durableId="27FB8AE9" w16cex:dateUtc="2023-05-02T12:13:00Z"/>
  <w16cex:commentExtensible w16cex:durableId="280E4A20" w16cex:dateUtc="2023-05-16T21:29:00Z"/>
  <w16cex:commentExtensible w16cex:durableId="27FDFA63" w16cex:dateUtc="2023-05-04T08:33:00Z"/>
  <w16cex:commentExtensible w16cex:durableId="27FDFA74" w16cex:dateUtc="2023-05-04T08:33:00Z"/>
  <w16cex:commentExtensible w16cex:durableId="27FD6248" w16cex:dateUtc="2023-05-03T21:44:00Z"/>
  <w16cex:commentExtensible w16cex:durableId="280F4AFC" w16cex:dateUtc="2023-05-17T15:45:00Z"/>
  <w16cex:commentExtensible w16cex:durableId="27FB849C" w16cex:dateUtc="2023-05-02T11:46:00Z"/>
  <w16cex:commentExtensible w16cex:durableId="27FD64EB" w16cex:dateUtc="2023-05-03T21:55:00Z"/>
  <w16cex:commentExtensible w16cex:durableId="280F508C" w16cex:dateUtc="2023-05-17T16:09:00Z"/>
  <w16cex:commentExtensible w16cex:durableId="27FE03CA" w16cex:dateUtc="2023-05-04T09:13:00Z"/>
  <w16cex:commentExtensible w16cex:durableId="280F50E6" w16cex:dateUtc="2023-05-17T16:11:00Z"/>
  <w16cex:commentExtensible w16cex:durableId="27FAC932" w16cex:dateUtc="2023-05-01T22:26:00Z"/>
  <w16cex:commentExtensible w16cex:durableId="280F55FE" w16cex:dateUtc="2023-05-17T16:32:00Z"/>
  <w16cex:commentExtensible w16cex:durableId="27FDFDDE" w16cex:dateUtc="2023-05-04T08:48:00Z"/>
  <w16cex:commentExtensible w16cex:durableId="280F5712" w16cex:dateUtc="2023-05-17T16:37:00Z"/>
  <w16cex:commentExtensible w16cex:durableId="27FE0739" w16cex:dateUtc="2023-05-04T09:28:00Z"/>
  <w16cex:commentExtensible w16cex:durableId="280F5720" w16cex:dateUtc="2023-05-17T16:37:00Z"/>
  <w16cex:commentExtensible w16cex:durableId="27FDF89F" w16cex:dateUtc="2023-05-04T08:25:00Z"/>
  <w16cex:commentExtensible w16cex:durableId="27FE041C" w16cex:dateUtc="2023-05-04T09:14:00Z"/>
  <w16cex:commentExtensible w16cex:durableId="2821D59C" w16cex:dateUtc="2023-05-31T17:18:00Z"/>
  <w16cex:commentExtensible w16cex:durableId="27FAB864" w16cex:dateUtc="2023-05-01T21:15:00Z"/>
  <w16cex:commentExtensible w16cex:durableId="2821D800" w16cex:dateUtc="2023-05-31T17:28:00Z"/>
  <w16cex:commentExtensible w16cex:durableId="27FE3E77" w16cex:dateUtc="2023-05-04T13:23:00Z"/>
  <w16cex:commentExtensible w16cex:durableId="27FDFB71" w16cex:dateUtc="2023-05-04T08:37:00Z"/>
  <w16cex:commentExtensible w16cex:durableId="2821DB8E" w16cex:dateUtc="2023-05-31T17:43:00Z"/>
  <w16cex:commentExtensible w16cex:durableId="27FE049C" w16cex:dateUtc="2023-05-04T09:17:00Z"/>
  <w16cex:commentExtensible w16cex:durableId="27FA9EEE" w16cex:dateUtc="2023-05-01T19:26:00Z"/>
  <w16cex:commentExtensible w16cex:durableId="2821DBAD" w16cex:dateUtc="2023-05-31T17:43:00Z"/>
  <w16cex:commentExtensible w16cex:durableId="27FE04F0" w16cex:dateUtc="2023-05-04T09:18:00Z"/>
  <w16cex:commentExtensible w16cex:durableId="2821DBB4" w16cex:dateUtc="2023-05-31T17:44:00Z"/>
  <w16cex:commentExtensible w16cex:durableId="27FE0551" w16cex:dateUtc="2023-05-04T09:20:00Z"/>
  <w16cex:commentExtensible w16cex:durableId="2821DBBD" w16cex:dateUtc="2023-05-31T17: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ECAD3FE" w16cid:durableId="27F8BC5D"/>
  <w16cid:commentId w16cid:paraId="51E9F1EF" w16cid:durableId="27F8BC5E"/>
  <w16cid:commentId w16cid:paraId="7B0388F1" w16cid:durableId="27F8C0A7"/>
  <w16cid:commentId w16cid:paraId="38236957" w16cid:durableId="28063028"/>
  <w16cid:commentId w16cid:paraId="418CF543" w16cid:durableId="28063027"/>
  <w16cid:commentId w16cid:paraId="49B82D2E" w16cid:durableId="27F8BF46"/>
  <w16cid:commentId w16cid:paraId="7BF2F3FA" w16cid:durableId="27FA057F"/>
  <w16cid:commentId w16cid:paraId="7BEC7EF6" w16cid:durableId="27FF8707"/>
  <w16cid:commentId w16cid:paraId="26B33558" w16cid:durableId="27FA0766"/>
  <w16cid:commentId w16cid:paraId="51BE3BF2" w16cid:durableId="27E26779"/>
  <w16cid:commentId w16cid:paraId="7EBEB317" w16cid:durableId="27FA0BE9"/>
  <w16cid:commentId w16cid:paraId="08E2E732" w16cid:durableId="280631FA"/>
  <w16cid:commentId w16cid:paraId="65D23ED4" w16cid:durableId="27FA0E23"/>
  <w16cid:commentId w16cid:paraId="7C39E746" w16cid:durableId="27FE442E"/>
  <w16cid:commentId w16cid:paraId="619C2AF5" w16cid:durableId="28063410"/>
  <w16cid:commentId w16cid:paraId="45C894E1" w16cid:durableId="27FA3636"/>
  <w16cid:commentId w16cid:paraId="7068F47B" w16cid:durableId="27FA2278"/>
  <w16cid:commentId w16cid:paraId="3B4C01FA" w16cid:durableId="28064722"/>
  <w16cid:commentId w16cid:paraId="07F20626" w16cid:durableId="27FA2AE7"/>
  <w16cid:commentId w16cid:paraId="61A18C63" w16cid:durableId="280647ED"/>
  <w16cid:commentId w16cid:paraId="35B8C79F" w16cid:durableId="27FE81D7"/>
  <w16cid:commentId w16cid:paraId="440A2D09" w16cid:durableId="28064816"/>
  <w16cid:commentId w16cid:paraId="46B301FC" w16cid:durableId="27FA359B"/>
  <w16cid:commentId w16cid:paraId="120F4D6E" w16cid:durableId="28064D46"/>
  <w16cid:commentId w16cid:paraId="08D60151" w16cid:durableId="27FC0415"/>
  <w16cid:commentId w16cid:paraId="784B4959" w16cid:durableId="27FA3801"/>
  <w16cid:commentId w16cid:paraId="4362C364" w16cid:durableId="28064D63"/>
  <w16cid:commentId w16cid:paraId="789447EB" w16cid:durableId="27FA3D9B"/>
  <w16cid:commentId w16cid:paraId="302FABCB" w16cid:durableId="280DD1E4"/>
  <w16cid:commentId w16cid:paraId="2114257E" w16cid:durableId="27FC0677"/>
  <w16cid:commentId w16cid:paraId="01D0E007" w16cid:durableId="27FA5464"/>
  <w16cid:commentId w16cid:paraId="15AEA314" w16cid:durableId="27FA57EC"/>
  <w16cid:commentId w16cid:paraId="6C1C4FD9" w16cid:durableId="280DF7FB"/>
  <w16cid:commentId w16cid:paraId="6ED95D9B" w16cid:durableId="27FA5B14"/>
  <w16cid:commentId w16cid:paraId="694A80A3" w16cid:durableId="280DF818"/>
  <w16cid:commentId w16cid:paraId="2649C079" w16cid:durableId="27FA96BC"/>
  <w16cid:commentId w16cid:paraId="3832865A" w16cid:durableId="280DF833"/>
  <w16cid:commentId w16cid:paraId="22FA937A" w16cid:durableId="27FAC471"/>
  <w16cid:commentId w16cid:paraId="00FFDB24" w16cid:durableId="27FAA1C6"/>
  <w16cid:commentId w16cid:paraId="085C07A0" w16cid:durableId="280DF9B2"/>
  <w16cid:commentId w16cid:paraId="0FCE6B71" w16cid:durableId="27FABD4A"/>
  <w16cid:commentId w16cid:paraId="63C0B626" w16cid:durableId="27FABE84"/>
  <w16cid:commentId w16cid:paraId="6C84728B" w16cid:durableId="280E3E5D"/>
  <w16cid:commentId w16cid:paraId="24C100BE" w16cid:durableId="27FAC80D"/>
  <w16cid:commentId w16cid:paraId="693563AD" w16cid:durableId="280E45E0"/>
  <w16cid:commentId w16cid:paraId="50D22A53" w16cid:durableId="27FC04C4"/>
  <w16cid:commentId w16cid:paraId="7ED31713" w16cid:durableId="280F49FF"/>
  <w16cid:commentId w16cid:paraId="0A17F29D" w16cid:durableId="27FAD05E"/>
  <w16cid:commentId w16cid:paraId="09626F26" w16cid:durableId="280E4697"/>
  <w16cid:commentId w16cid:paraId="38F5252B" w16cid:durableId="27FACC98"/>
  <w16cid:commentId w16cid:paraId="2D8F829E" w16cid:durableId="280E468C"/>
  <w16cid:commentId w16cid:paraId="5FF1E3E6" w16cid:durableId="27FC04C3"/>
  <w16cid:commentId w16cid:paraId="4EE12EEA" w16cid:durableId="27FE44DC"/>
  <w16cid:commentId w16cid:paraId="57EF9ECE" w16cid:durableId="27FBDD41"/>
  <w16cid:commentId w16cid:paraId="7F531FD1" w16cid:durableId="27FAD424"/>
  <w16cid:commentId w16cid:paraId="50DBA56F" w16cid:durableId="280F4A77"/>
  <w16cid:commentId w16cid:paraId="06195A04" w16cid:durableId="27FAD465"/>
  <w16cid:commentId w16cid:paraId="0ECAD794" w16cid:durableId="280F4A83"/>
  <w16cid:commentId w16cid:paraId="2A80BE3B" w16cid:durableId="27FAD647"/>
  <w16cid:commentId w16cid:paraId="7F935FFA" w16cid:durableId="280F4A8E"/>
  <w16cid:commentId w16cid:paraId="2A506D1D" w16cid:durableId="27FE83FD"/>
  <w16cid:commentId w16cid:paraId="5D68C220" w16cid:durableId="280E4739"/>
  <w16cid:commentId w16cid:paraId="6FFB030D" w16cid:durableId="27F8C4ED"/>
  <w16cid:commentId w16cid:paraId="30EB711B" w16cid:durableId="280E4808"/>
  <w16cid:commentId w16cid:paraId="39E05D97" w16cid:durableId="27F8C790"/>
  <w16cid:commentId w16cid:paraId="612D0552" w16cid:durableId="280E4829"/>
  <w16cid:commentId w16cid:paraId="01ADB085" w16cid:durableId="27F8BEC0"/>
  <w16cid:commentId w16cid:paraId="3E313D54" w16cid:durableId="2806300F"/>
  <w16cid:commentId w16cid:paraId="4714C7CA" w16cid:durableId="27F95FE9"/>
  <w16cid:commentId w16cid:paraId="21AF559B" w16cid:durableId="280F4A9A"/>
  <w16cid:commentId w16cid:paraId="46ADF570" w16cid:durableId="27F96014"/>
  <w16cid:commentId w16cid:paraId="125A3B2D" w16cid:durableId="280F4AA0"/>
  <w16cid:commentId w16cid:paraId="65D68A51" w16cid:durableId="27FE86DB"/>
  <w16cid:commentId w16cid:paraId="04AF1F2B" w16cid:durableId="27FB875C"/>
  <w16cid:commentId w16cid:paraId="127146A0" w16cid:durableId="280F4ADD"/>
  <w16cid:commentId w16cid:paraId="3C99C2CB" w16cid:durableId="27FBB8EF"/>
  <w16cid:commentId w16cid:paraId="009ECC80" w16cid:durableId="280E4A08"/>
  <w16cid:commentId w16cid:paraId="5940BD50" w16cid:durableId="27FB8AE9"/>
  <w16cid:commentId w16cid:paraId="4ABFB173" w16cid:durableId="280E4A20"/>
  <w16cid:commentId w16cid:paraId="50936E66" w16cid:durableId="27FDFA63"/>
  <w16cid:commentId w16cid:paraId="51F1EA7B" w16cid:durableId="27FDFA74"/>
  <w16cid:commentId w16cid:paraId="5E6D09F2" w16cid:durableId="27FD6248"/>
  <w16cid:commentId w16cid:paraId="07B6AD2A" w16cid:durableId="280F4AFC"/>
  <w16cid:commentId w16cid:paraId="683DE830" w16cid:durableId="27FB849C"/>
  <w16cid:commentId w16cid:paraId="37C93623" w16cid:durableId="27FD64EB"/>
  <w16cid:commentId w16cid:paraId="63E2C716" w16cid:durableId="280F508C"/>
  <w16cid:commentId w16cid:paraId="6664CAE3" w16cid:durableId="27FE03CA"/>
  <w16cid:commentId w16cid:paraId="3D47A56E" w16cid:durableId="280F50E6"/>
  <w16cid:commentId w16cid:paraId="0549C319" w16cid:durableId="27FAC932"/>
  <w16cid:commentId w16cid:paraId="49FB3E6F" w16cid:durableId="280F55FE"/>
  <w16cid:commentId w16cid:paraId="389AD25B" w16cid:durableId="27FDFDDE"/>
  <w16cid:commentId w16cid:paraId="7674CFED" w16cid:durableId="280F5712"/>
  <w16cid:commentId w16cid:paraId="660594ED" w16cid:durableId="27FE0739"/>
  <w16cid:commentId w16cid:paraId="3D277A20" w16cid:durableId="280F5720"/>
  <w16cid:commentId w16cid:paraId="57517FBE" w16cid:durableId="27FDF89F"/>
  <w16cid:commentId w16cid:paraId="695FAA07" w16cid:durableId="27FE041C"/>
  <w16cid:commentId w16cid:paraId="44EBDA57" w16cid:durableId="2821D59C"/>
  <w16cid:commentId w16cid:paraId="6504206A" w16cid:durableId="27FAB864"/>
  <w16cid:commentId w16cid:paraId="32B7EFDA" w16cid:durableId="2821D800"/>
  <w16cid:commentId w16cid:paraId="05224FD2" w16cid:durableId="27FE3E77"/>
  <w16cid:commentId w16cid:paraId="540B0A7D" w16cid:durableId="27FDFB71"/>
  <w16cid:commentId w16cid:paraId="6C00EFC3" w16cid:durableId="2821DB8E"/>
  <w16cid:commentId w16cid:paraId="6F4A8BF4" w16cid:durableId="27FE049C"/>
  <w16cid:commentId w16cid:paraId="1022612C" w16cid:durableId="27FA9EEE"/>
  <w16cid:commentId w16cid:paraId="2D1A43C5" w16cid:durableId="2821DBAD"/>
  <w16cid:commentId w16cid:paraId="45DE347E" w16cid:durableId="27FE04F0"/>
  <w16cid:commentId w16cid:paraId="6DA5E458" w16cid:durableId="2821DBB4"/>
  <w16cid:commentId w16cid:paraId="4943BFBE" w16cid:durableId="27FE0551"/>
  <w16cid:commentId w16cid:paraId="422E2296" w16cid:durableId="2821DBB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12F319" w14:textId="77777777" w:rsidR="00901B41" w:rsidRDefault="00901B41">
      <w:r>
        <w:rPr>
          <w:rStyle w:val="PleaseReviewParagraphId"/>
        </w:rPr>
        <w:t>[]</w:t>
      </w:r>
      <w:r>
        <w:separator/>
      </w:r>
    </w:p>
  </w:endnote>
  <w:endnote w:type="continuationSeparator" w:id="0">
    <w:p w14:paraId="039A3144" w14:textId="77777777" w:rsidR="00901B41" w:rsidRDefault="00901B41">
      <w:r>
        <w:rPr>
          <w:rStyle w:val="PleaseReviewParagraphId"/>
        </w:rPr>
        <w:t>[]</w:t>
      </w:r>
      <w:r>
        <w:continuationSeparator/>
      </w:r>
    </w:p>
  </w:endnote>
  <w:endnote w:type="continuationNotice" w:id="1">
    <w:p w14:paraId="0E9184E2" w14:textId="77777777" w:rsidR="00901B41" w:rsidRDefault="00901B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iberation Sans">
    <w:altName w:val="Times New Roman"/>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alatino">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swiss"/>
    <w:pitch w:val="default"/>
    <w:sig w:usb0="00000003" w:usb1="00000000" w:usb2="00000000" w:usb3="00000000" w:csb0="0000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dvOT596495f2+20">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94DEBF" w14:textId="3B2D502E" w:rsidR="00901B41" w:rsidRPr="00383012" w:rsidRDefault="00901B41" w:rsidP="00383012">
    <w:pPr>
      <w:pStyle w:val="IPPFooter"/>
    </w:pPr>
    <w:r w:rsidRPr="00383012">
      <w:rPr>
        <w:rStyle w:val="PageNumber"/>
        <w:b/>
      </w:rPr>
      <w:t xml:space="preserve">Page </w:t>
    </w:r>
    <w:r w:rsidRPr="00383012">
      <w:rPr>
        <w:rStyle w:val="PageNumber"/>
        <w:b/>
      </w:rPr>
      <w:fldChar w:fldCharType="begin"/>
    </w:r>
    <w:r w:rsidRPr="00383012">
      <w:rPr>
        <w:rStyle w:val="PageNumber"/>
        <w:b/>
      </w:rPr>
      <w:instrText xml:space="preserve"> PAGE </w:instrText>
    </w:r>
    <w:r w:rsidRPr="00383012">
      <w:rPr>
        <w:rStyle w:val="PageNumber"/>
        <w:b/>
      </w:rPr>
      <w:fldChar w:fldCharType="separate"/>
    </w:r>
    <w:r w:rsidR="004A7FD9">
      <w:rPr>
        <w:rStyle w:val="PageNumber"/>
        <w:b/>
        <w:noProof/>
      </w:rPr>
      <w:t>24</w:t>
    </w:r>
    <w:r w:rsidRPr="00383012">
      <w:rPr>
        <w:rStyle w:val="PageNumber"/>
        <w:b/>
      </w:rPr>
      <w:fldChar w:fldCharType="end"/>
    </w:r>
    <w:r w:rsidRPr="00383012">
      <w:rPr>
        <w:rStyle w:val="PageNumber"/>
        <w:b/>
      </w:rPr>
      <w:t xml:space="preserve"> of </w:t>
    </w:r>
    <w:r w:rsidRPr="00383012">
      <w:rPr>
        <w:rStyle w:val="PageNumber"/>
        <w:b/>
      </w:rPr>
      <w:fldChar w:fldCharType="begin"/>
    </w:r>
    <w:r w:rsidRPr="00383012">
      <w:rPr>
        <w:rStyle w:val="PageNumber"/>
        <w:b/>
      </w:rPr>
      <w:instrText xml:space="preserve"> NUMPAGES </w:instrText>
    </w:r>
    <w:r w:rsidRPr="00383012">
      <w:rPr>
        <w:rStyle w:val="PageNumber"/>
        <w:b/>
      </w:rPr>
      <w:fldChar w:fldCharType="separate"/>
    </w:r>
    <w:r w:rsidR="004A7FD9">
      <w:rPr>
        <w:rStyle w:val="PageNumber"/>
        <w:b/>
        <w:noProof/>
      </w:rPr>
      <w:t>25</w:t>
    </w:r>
    <w:r w:rsidRPr="00383012">
      <w:rPr>
        <w:rStyle w:val="PageNumber"/>
        <w:b/>
      </w:rPr>
      <w:fldChar w:fldCharType="end"/>
    </w:r>
    <w:r w:rsidRPr="00383012">
      <w:rPr>
        <w:rStyle w:val="PageNumber"/>
        <w:b/>
      </w:rPr>
      <w:tab/>
    </w:r>
    <w:r w:rsidRPr="00383012">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5DE12" w14:textId="26F22F8B" w:rsidR="00901B41" w:rsidRPr="00383012" w:rsidRDefault="00901B41" w:rsidP="00383012">
    <w:pPr>
      <w:pStyle w:val="IPPFooter"/>
    </w:pPr>
    <w:r w:rsidRPr="00383012">
      <w:t>International Plant Protection Convention</w:t>
    </w:r>
    <w:r w:rsidRPr="00383012">
      <w:rPr>
        <w:rStyle w:val="PageNumber"/>
        <w:b/>
      </w:rPr>
      <w:tab/>
      <w:t xml:space="preserve">Page </w:t>
    </w:r>
    <w:r w:rsidRPr="00383012">
      <w:rPr>
        <w:rStyle w:val="PageNumber"/>
        <w:b/>
      </w:rPr>
      <w:fldChar w:fldCharType="begin"/>
    </w:r>
    <w:r w:rsidRPr="00383012">
      <w:rPr>
        <w:rStyle w:val="PageNumber"/>
        <w:b/>
      </w:rPr>
      <w:instrText xml:space="preserve"> PAGE </w:instrText>
    </w:r>
    <w:r w:rsidRPr="00383012">
      <w:rPr>
        <w:rStyle w:val="PageNumber"/>
        <w:b/>
      </w:rPr>
      <w:fldChar w:fldCharType="separate"/>
    </w:r>
    <w:r w:rsidR="004A7FD9">
      <w:rPr>
        <w:rStyle w:val="PageNumber"/>
        <w:b/>
        <w:noProof/>
      </w:rPr>
      <w:t>25</w:t>
    </w:r>
    <w:r w:rsidRPr="00383012">
      <w:rPr>
        <w:rStyle w:val="PageNumber"/>
        <w:b/>
      </w:rPr>
      <w:fldChar w:fldCharType="end"/>
    </w:r>
    <w:r w:rsidRPr="00383012">
      <w:rPr>
        <w:rStyle w:val="PageNumber"/>
        <w:b/>
      </w:rPr>
      <w:t xml:space="preserve"> of </w:t>
    </w:r>
    <w:r w:rsidRPr="00383012">
      <w:rPr>
        <w:rStyle w:val="PageNumber"/>
        <w:b/>
      </w:rPr>
      <w:fldChar w:fldCharType="begin"/>
    </w:r>
    <w:r w:rsidRPr="00383012">
      <w:rPr>
        <w:rStyle w:val="PageNumber"/>
        <w:b/>
      </w:rPr>
      <w:instrText xml:space="preserve"> NUMPAGES </w:instrText>
    </w:r>
    <w:r w:rsidRPr="00383012">
      <w:rPr>
        <w:rStyle w:val="PageNumber"/>
        <w:b/>
      </w:rPr>
      <w:fldChar w:fldCharType="separate"/>
    </w:r>
    <w:r w:rsidR="004A7FD9">
      <w:rPr>
        <w:rStyle w:val="PageNumber"/>
        <w:b/>
        <w:noProof/>
      </w:rPr>
      <w:t>25</w:t>
    </w:r>
    <w:r w:rsidRPr="00383012">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44A3E" w14:textId="650F4F66" w:rsidR="00901B41" w:rsidRPr="00383012" w:rsidRDefault="00901B41" w:rsidP="00383012">
    <w:pPr>
      <w:pStyle w:val="IPPFooter"/>
    </w:pPr>
    <w:r w:rsidRPr="00383012">
      <w:t>International Plant Protection Convention</w:t>
    </w:r>
    <w:r w:rsidRPr="00383012">
      <w:rPr>
        <w:rStyle w:val="PageNumber"/>
        <w:b/>
      </w:rPr>
      <w:tab/>
      <w:t xml:space="preserve">Page </w:t>
    </w:r>
    <w:r w:rsidRPr="00383012">
      <w:rPr>
        <w:rStyle w:val="PageNumber"/>
        <w:b/>
      </w:rPr>
      <w:fldChar w:fldCharType="begin"/>
    </w:r>
    <w:r w:rsidRPr="00383012">
      <w:rPr>
        <w:rStyle w:val="PageNumber"/>
        <w:b/>
      </w:rPr>
      <w:instrText xml:space="preserve"> PAGE </w:instrText>
    </w:r>
    <w:r w:rsidRPr="00383012">
      <w:rPr>
        <w:rStyle w:val="PageNumber"/>
        <w:b/>
      </w:rPr>
      <w:fldChar w:fldCharType="separate"/>
    </w:r>
    <w:r w:rsidR="004A7FD9">
      <w:rPr>
        <w:rStyle w:val="PageNumber"/>
        <w:b/>
        <w:noProof/>
      </w:rPr>
      <w:t>1</w:t>
    </w:r>
    <w:r w:rsidRPr="00383012">
      <w:rPr>
        <w:rStyle w:val="PageNumber"/>
        <w:b/>
      </w:rPr>
      <w:fldChar w:fldCharType="end"/>
    </w:r>
    <w:r w:rsidRPr="00383012">
      <w:rPr>
        <w:rStyle w:val="PageNumber"/>
        <w:b/>
      </w:rPr>
      <w:t xml:space="preserve"> of </w:t>
    </w:r>
    <w:r w:rsidRPr="00383012">
      <w:rPr>
        <w:rStyle w:val="PageNumber"/>
        <w:b/>
      </w:rPr>
      <w:fldChar w:fldCharType="begin"/>
    </w:r>
    <w:r w:rsidRPr="00383012">
      <w:rPr>
        <w:rStyle w:val="PageNumber"/>
        <w:b/>
      </w:rPr>
      <w:instrText xml:space="preserve"> NUMPAGES </w:instrText>
    </w:r>
    <w:r w:rsidRPr="00383012">
      <w:rPr>
        <w:rStyle w:val="PageNumber"/>
        <w:b/>
      </w:rPr>
      <w:fldChar w:fldCharType="separate"/>
    </w:r>
    <w:r w:rsidR="004A7FD9">
      <w:rPr>
        <w:rStyle w:val="PageNumber"/>
        <w:b/>
        <w:noProof/>
      </w:rPr>
      <w:t>25</w:t>
    </w:r>
    <w:r w:rsidRPr="00383012">
      <w:rPr>
        <w:rStyle w:val="PageNumbe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DE47D9" w14:textId="6D741411" w:rsidR="00901B41" w:rsidRDefault="00901B41">
      <w:r>
        <w:separator/>
      </w:r>
    </w:p>
  </w:footnote>
  <w:footnote w:type="continuationSeparator" w:id="0">
    <w:p w14:paraId="169B4A4B" w14:textId="77777777" w:rsidR="00901B41" w:rsidRDefault="00901B41">
      <w:r>
        <w:rPr>
          <w:rStyle w:val="PleaseReviewParagraphId"/>
        </w:rPr>
        <w:t>[]</w:t>
      </w:r>
      <w:r>
        <w:continuationSeparator/>
      </w:r>
    </w:p>
  </w:footnote>
  <w:footnote w:type="continuationNotice" w:id="1">
    <w:p w14:paraId="1ECCF511" w14:textId="77777777" w:rsidR="00901B41" w:rsidRDefault="00901B41"/>
  </w:footnote>
  <w:footnote w:id="2">
    <w:p w14:paraId="29EF69E1" w14:textId="77777777" w:rsidR="00901B41" w:rsidRDefault="00901B41" w:rsidP="00E87C79">
      <w:pPr>
        <w:pStyle w:val="IPPFootnote"/>
        <w:rPr>
          <w:lang w:val="en-US"/>
        </w:rPr>
      </w:pPr>
      <w:r>
        <w:rPr>
          <w:rStyle w:val="PleaseReviewParagraphId"/>
        </w:rPr>
        <w:t>[156]</w:t>
      </w:r>
      <w:r>
        <w:rPr>
          <w:rStyle w:val="FootnoteReference"/>
        </w:rPr>
        <w:footnoteRef/>
      </w:r>
      <w:r>
        <w:t xml:space="preserve"> The use of names of reagents, chemicals or equipment in these diagnostic protocols implies no approval of them to the exclusion of others that may also be suitable.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4402E0" w14:textId="0031E01F" w:rsidR="00901B41" w:rsidRDefault="00901B41" w:rsidP="00383012">
    <w:pPr>
      <w:pStyle w:val="IPPHeader"/>
    </w:pPr>
    <w:r w:rsidRPr="00AC0858">
      <w:t>2018-006</w:t>
    </w:r>
    <w:r w:rsidRPr="00AC0858">
      <w:tab/>
    </w:r>
    <w:r w:rsidRPr="00AC0858">
      <w:tab/>
      <w:t>Draft annex to ISPM</w:t>
    </w:r>
    <w:r>
      <w:t> </w:t>
    </w:r>
    <w:r w:rsidRPr="00AC0858">
      <w:t xml:space="preserve">27: </w:t>
    </w:r>
    <w:r w:rsidRPr="00AC0858">
      <w:rPr>
        <w:i/>
      </w:rPr>
      <w:t>Mononychellus tanajoa</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24C9A2" w14:textId="1EE66720" w:rsidR="00901B41" w:rsidRDefault="00901B41" w:rsidP="00383012">
    <w:pPr>
      <w:pStyle w:val="IPPHeader"/>
    </w:pPr>
    <w:r w:rsidRPr="00AC0858">
      <w:t>Draft annex to ISPM</w:t>
    </w:r>
    <w:r>
      <w:t> </w:t>
    </w:r>
    <w:r w:rsidRPr="00AC0858">
      <w:t xml:space="preserve">27: </w:t>
    </w:r>
    <w:r w:rsidRPr="00AC0858">
      <w:rPr>
        <w:i/>
      </w:rPr>
      <w:t>Mononychellus tanajoa</w:t>
    </w:r>
    <w:r>
      <w:tab/>
    </w:r>
    <w:r w:rsidRPr="00AC0858">
      <w:t>2018-006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D6E4D7" w14:textId="43810FC4" w:rsidR="00901B41" w:rsidRDefault="00901B41" w:rsidP="00AC0858">
    <w:pPr>
      <w:pStyle w:val="IPPHeader"/>
      <w:ind w:left="1134"/>
    </w:pPr>
    <w:r>
      <w:rPr>
        <w:noProof/>
      </w:rPr>
      <w:drawing>
        <wp:anchor distT="0" distB="0" distL="114300" distR="114300" simplePos="0" relativeHeight="251658241" behindDoc="0" locked="0" layoutInCell="1" allowOverlap="0" wp14:anchorId="4F3A6DBC" wp14:editId="0F90ADAD">
          <wp:simplePos x="0" y="0"/>
          <wp:positionH relativeFrom="page">
            <wp:posOffset>-28575</wp:posOffset>
          </wp:positionH>
          <wp:positionV relativeFrom="paragraph">
            <wp:posOffset>-530225</wp:posOffset>
          </wp:positionV>
          <wp:extent cx="7629525" cy="4635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3C637A4C" wp14:editId="4F579524">
          <wp:simplePos x="0" y="0"/>
          <wp:positionH relativeFrom="column">
            <wp:posOffset>-12700</wp:posOffset>
          </wp:positionH>
          <wp:positionV relativeFrom="paragraph">
            <wp:posOffset>3810</wp:posOffset>
          </wp:positionV>
          <wp:extent cx="632460" cy="321310"/>
          <wp:effectExtent l="0" t="0" r="0" b="0"/>
          <wp:wrapSquare wrapText="bothSides"/>
          <wp:docPr id="7" name="Picture 7"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rsidRPr="00AC0858">
      <w:t>2018-006</w:t>
    </w:r>
    <w:r w:rsidRPr="007A07BA">
      <w:br/>
    </w:r>
    <w:r>
      <w:rPr>
        <w:i/>
      </w:rPr>
      <w:t>D</w:t>
    </w:r>
    <w:r w:rsidRPr="00AC0858">
      <w:rPr>
        <w:i/>
      </w:rPr>
      <w:t>raft annex to ISPM 27: Mononychellus tanajoa (2018-006)</w:t>
    </w:r>
    <w:r w:rsidRPr="004C4270">
      <w:rPr>
        <w:i/>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5066E"/>
    <w:multiLevelType w:val="hybridMultilevel"/>
    <w:tmpl w:val="C826F3E2"/>
    <w:lvl w:ilvl="0" w:tplc="CBE6F1FA">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C0A6C"/>
    <w:multiLevelType w:val="multilevel"/>
    <w:tmpl w:val="06E871E4"/>
    <w:numStyleLink w:val="IPPParagraphnumberedlist"/>
  </w:abstractNum>
  <w:abstractNum w:abstractNumId="13" w15:restartNumberingAfterBreak="0">
    <w:nsid w:val="087407EF"/>
    <w:multiLevelType w:val="multilevel"/>
    <w:tmpl w:val="06E871E4"/>
    <w:numStyleLink w:val="IPPParagraphnumberedlist"/>
  </w:abstractNum>
  <w:abstractNum w:abstractNumId="14"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6FE40AF"/>
    <w:multiLevelType w:val="multilevel"/>
    <w:tmpl w:val="8DCC3C96"/>
    <w:lvl w:ilvl="0">
      <w:start w:val="1"/>
      <w:numFmt w:val="decimal"/>
      <w:lvlText w:val="%1."/>
      <w:lvlJc w:val="left"/>
      <w:pPr>
        <w:tabs>
          <w:tab w:val="num" w:pos="0"/>
        </w:tabs>
        <w:ind w:left="720" w:hanging="360"/>
      </w:pPr>
      <w:rPr>
        <w:sz w:val="24"/>
      </w:r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6" w15:restartNumberingAfterBreak="0">
    <w:nsid w:val="1AB70D79"/>
    <w:multiLevelType w:val="multilevel"/>
    <w:tmpl w:val="0A305490"/>
    <w:lvl w:ilvl="0">
      <w:start w:val="1"/>
      <w:numFmt w:val="decimal"/>
      <w:lvlText w:val="(%1)"/>
      <w:lvlJc w:val="left"/>
      <w:pPr>
        <w:ind w:left="567" w:hanging="567"/>
      </w:pPr>
      <w:rPr>
        <w:rFonts w:ascii="Times New Roman" w:eastAsia="Times New Roman" w:hAnsi="Times New Roman" w:cs="Times New Roman"/>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8" w15:restartNumberingAfterBreak="0">
    <w:nsid w:val="1D270D01"/>
    <w:multiLevelType w:val="multilevel"/>
    <w:tmpl w:val="14B016F8"/>
    <w:lvl w:ilvl="0">
      <w:start w:val="1"/>
      <w:numFmt w:val="decimal"/>
      <w:pStyle w:val="ListParagraphdas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20"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4BD3D55"/>
    <w:multiLevelType w:val="multilevel"/>
    <w:tmpl w:val="63C27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5A704D22"/>
    <w:multiLevelType w:val="multilevel"/>
    <w:tmpl w:val="CDC0FC70"/>
    <w:lvl w:ilvl="0">
      <w:start w:val="1"/>
      <w:numFmt w:val="decimal"/>
      <w:lvlText w:val="[%1]"/>
      <w:lvlJc w:val="left"/>
      <w:pPr>
        <w:tabs>
          <w:tab w:val="num" w:pos="0"/>
        </w:tabs>
        <w:ind w:left="0" w:hanging="482"/>
      </w:pPr>
      <w:rPr>
        <w:rFonts w:ascii="Arial" w:hAnsi="Arial"/>
        <w:b w:val="0"/>
        <w:i/>
        <w:color w:val="0000FF"/>
        <w:sz w:val="16"/>
      </w:rPr>
    </w:lvl>
    <w:lvl w:ilvl="1">
      <w:start w:val="1"/>
      <w:numFmt w:val="none"/>
      <w:suff w:val="nothing"/>
      <w:lvlText w:val=""/>
      <w:lvlJc w:val="left"/>
      <w:pPr>
        <w:tabs>
          <w:tab w:val="num" w:pos="0"/>
        </w:tabs>
        <w:ind w:left="0" w:hanging="482"/>
      </w:pPr>
    </w:lvl>
    <w:lvl w:ilvl="2">
      <w:start w:val="1"/>
      <w:numFmt w:val="none"/>
      <w:suff w:val="nothing"/>
      <w:lvlText w:val=""/>
      <w:lvlJc w:val="left"/>
      <w:pPr>
        <w:tabs>
          <w:tab w:val="num" w:pos="0"/>
        </w:tabs>
        <w:ind w:left="0" w:hanging="482"/>
      </w:pPr>
    </w:lvl>
    <w:lvl w:ilvl="3">
      <w:start w:val="1"/>
      <w:numFmt w:val="none"/>
      <w:suff w:val="nothing"/>
      <w:lvlText w:val=""/>
      <w:lvlJc w:val="left"/>
      <w:pPr>
        <w:tabs>
          <w:tab w:val="num" w:pos="0"/>
        </w:tabs>
        <w:ind w:left="0" w:hanging="482"/>
      </w:pPr>
    </w:lvl>
    <w:lvl w:ilvl="4">
      <w:start w:val="1"/>
      <w:numFmt w:val="none"/>
      <w:suff w:val="nothing"/>
      <w:lvlText w:val=""/>
      <w:lvlJc w:val="left"/>
      <w:pPr>
        <w:tabs>
          <w:tab w:val="num" w:pos="0"/>
        </w:tabs>
        <w:ind w:left="0" w:hanging="482"/>
      </w:pPr>
    </w:lvl>
    <w:lvl w:ilvl="5">
      <w:start w:val="1"/>
      <w:numFmt w:val="none"/>
      <w:suff w:val="nothing"/>
      <w:lvlText w:val=""/>
      <w:lvlJc w:val="left"/>
      <w:pPr>
        <w:tabs>
          <w:tab w:val="num" w:pos="0"/>
        </w:tabs>
        <w:ind w:left="0" w:hanging="482"/>
      </w:pPr>
    </w:lvl>
    <w:lvl w:ilvl="6">
      <w:start w:val="1"/>
      <w:numFmt w:val="none"/>
      <w:suff w:val="nothing"/>
      <w:lvlText w:val=""/>
      <w:lvlJc w:val="left"/>
      <w:pPr>
        <w:tabs>
          <w:tab w:val="num" w:pos="0"/>
        </w:tabs>
        <w:ind w:left="0" w:hanging="482"/>
      </w:pPr>
    </w:lvl>
    <w:lvl w:ilvl="7">
      <w:start w:val="1"/>
      <w:numFmt w:val="none"/>
      <w:suff w:val="nothing"/>
      <w:lvlText w:val=""/>
      <w:lvlJc w:val="left"/>
      <w:pPr>
        <w:tabs>
          <w:tab w:val="num" w:pos="0"/>
        </w:tabs>
        <w:ind w:left="0" w:hanging="482"/>
      </w:pPr>
    </w:lvl>
    <w:lvl w:ilvl="8">
      <w:start w:val="1"/>
      <w:numFmt w:val="none"/>
      <w:suff w:val="nothing"/>
      <w:lvlText w:val=""/>
      <w:lvlJc w:val="left"/>
      <w:pPr>
        <w:tabs>
          <w:tab w:val="num" w:pos="0"/>
        </w:tabs>
        <w:ind w:left="0" w:hanging="482"/>
      </w:pPr>
    </w:lvl>
  </w:abstractNum>
  <w:abstractNum w:abstractNumId="25"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6"/>
  </w:num>
  <w:num w:numId="2">
    <w:abstractNumId w:val="18"/>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15"/>
  </w:num>
  <w:num w:numId="6">
    <w:abstractNumId w:val="12"/>
  </w:num>
  <w:num w:numId="7">
    <w:abstractNumId w:val="19"/>
  </w:num>
  <w:num w:numId="8">
    <w:abstractNumId w:val="23"/>
  </w:num>
  <w:num w:numId="9">
    <w:abstractNumId w:val="26"/>
  </w:num>
  <w:num w:numId="10">
    <w:abstractNumId w:val="11"/>
  </w:num>
  <w:num w:numId="11">
    <w:abstractNumId w:val="25"/>
  </w:num>
  <w:num w:numId="12">
    <w:abstractNumId w:val="14"/>
  </w:num>
  <w:num w:numId="13">
    <w:abstractNumId w:val="27"/>
  </w:num>
  <w:num w:numId="14">
    <w:abstractNumId w:val="20"/>
  </w:num>
  <w:num w:numId="15">
    <w:abstractNumId w:val="28"/>
  </w:num>
  <w:num w:numId="16">
    <w:abstractNumId w:val="17"/>
  </w:num>
  <w:num w:numId="17">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9">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1">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12"/>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3">
    <w:abstractNumId w:val="10"/>
  </w:num>
  <w:num w:numId="24">
    <w:abstractNumId w:val="22"/>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21"/>
  </w:num>
  <w:num w:numId="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s-CU" w:vendorID="64" w:dllVersion="0" w:nlCheck="1" w:checkStyle="0"/>
  <w:activeWritingStyle w:appName="MSWord" w:lang="en-NZ" w:vendorID="64" w:dllVersion="0" w:nlCheck="1" w:checkStyle="0"/>
  <w:activeWritingStyle w:appName="MSWord" w:lang="en-US" w:vendorID="64" w:dllVersion="6" w:nlCheck="1" w:checkStyle="1"/>
  <w:activeWritingStyle w:appName="MSWord" w:lang="en-GB" w:vendorID="64" w:dllVersion="6" w:nlCheck="1" w:checkStyle="1"/>
  <w:activeWritingStyle w:appName="MSWord" w:lang="fr-BE" w:vendorID="64" w:dllVersion="6" w:nlCheck="1" w:checkStyle="0"/>
  <w:activeWritingStyle w:appName="MSWord" w:lang="en-AU" w:vendorID="64" w:dllVersion="6" w:nlCheck="1" w:checkStyle="1"/>
  <w:activeWritingStyle w:appName="MSWord" w:lang="en-NZ" w:vendorID="64" w:dllVersion="6" w:nlCheck="1" w:checkStyle="1"/>
  <w:activeWritingStyle w:appName="MSWord" w:lang="es-419" w:vendorID="64" w:dllVersion="6" w:nlCheck="1" w:checkStyle="0"/>
  <w:activeWritingStyle w:appName="MSWord" w:lang="en-GB" w:vendorID="64" w:dllVersion="131078" w:nlCheck="1" w:checkStyle="1"/>
  <w:activeWritingStyle w:appName="MSWord" w:lang="en-US" w:vendorID="64" w:dllVersion="131078" w:nlCheck="1" w:checkStyle="1"/>
  <w:attachedTemplate r:id="rId1"/>
  <w:trackRevisions/>
  <w:defaultTabStop w:val="720"/>
  <w:evenAndOddHeaders/>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A1NjazNDM3MjA2NDJV0lEKTi0uzszPAykwNK8FAHZJniotAAAA"/>
  </w:docVars>
  <w:rsids>
    <w:rsidRoot w:val="0000285E"/>
    <w:rsid w:val="00001E5E"/>
    <w:rsid w:val="0000285E"/>
    <w:rsid w:val="00004DBF"/>
    <w:rsid w:val="00006897"/>
    <w:rsid w:val="00007F00"/>
    <w:rsid w:val="0001127B"/>
    <w:rsid w:val="00020D54"/>
    <w:rsid w:val="00021745"/>
    <w:rsid w:val="000225E9"/>
    <w:rsid w:val="00032F97"/>
    <w:rsid w:val="00033E29"/>
    <w:rsid w:val="00035F16"/>
    <w:rsid w:val="00041B6E"/>
    <w:rsid w:val="00041C48"/>
    <w:rsid w:val="0004433A"/>
    <w:rsid w:val="00061757"/>
    <w:rsid w:val="000640FA"/>
    <w:rsid w:val="000701B1"/>
    <w:rsid w:val="000763A2"/>
    <w:rsid w:val="00085D93"/>
    <w:rsid w:val="000954CA"/>
    <w:rsid w:val="00095BCD"/>
    <w:rsid w:val="00096E6B"/>
    <w:rsid w:val="000A3B74"/>
    <w:rsid w:val="000A4706"/>
    <w:rsid w:val="000B0D1C"/>
    <w:rsid w:val="000B6EE6"/>
    <w:rsid w:val="000C44CB"/>
    <w:rsid w:val="000C6AFE"/>
    <w:rsid w:val="000C789C"/>
    <w:rsid w:val="000D17C3"/>
    <w:rsid w:val="000D78C1"/>
    <w:rsid w:val="000E1A67"/>
    <w:rsid w:val="000E2071"/>
    <w:rsid w:val="000E3166"/>
    <w:rsid w:val="000E6451"/>
    <w:rsid w:val="000F1866"/>
    <w:rsid w:val="000F3D0C"/>
    <w:rsid w:val="000F6A97"/>
    <w:rsid w:val="00100BBE"/>
    <w:rsid w:val="00101168"/>
    <w:rsid w:val="00105185"/>
    <w:rsid w:val="00105ED0"/>
    <w:rsid w:val="001063E6"/>
    <w:rsid w:val="00110FA7"/>
    <w:rsid w:val="00111FFA"/>
    <w:rsid w:val="001127C7"/>
    <w:rsid w:val="00114BAC"/>
    <w:rsid w:val="001158D0"/>
    <w:rsid w:val="00115B8E"/>
    <w:rsid w:val="001161E5"/>
    <w:rsid w:val="0012169B"/>
    <w:rsid w:val="00121741"/>
    <w:rsid w:val="001222B1"/>
    <w:rsid w:val="00125849"/>
    <w:rsid w:val="001259AC"/>
    <w:rsid w:val="00126759"/>
    <w:rsid w:val="0013127E"/>
    <w:rsid w:val="001334FE"/>
    <w:rsid w:val="0013575C"/>
    <w:rsid w:val="00141B06"/>
    <w:rsid w:val="00144B21"/>
    <w:rsid w:val="0015088F"/>
    <w:rsid w:val="00155611"/>
    <w:rsid w:val="0015692C"/>
    <w:rsid w:val="00157819"/>
    <w:rsid w:val="0016062B"/>
    <w:rsid w:val="00162A23"/>
    <w:rsid w:val="0016305B"/>
    <w:rsid w:val="0016457C"/>
    <w:rsid w:val="00170884"/>
    <w:rsid w:val="001716FA"/>
    <w:rsid w:val="00171C04"/>
    <w:rsid w:val="00175A82"/>
    <w:rsid w:val="00176E7D"/>
    <w:rsid w:val="00181A83"/>
    <w:rsid w:val="00181E05"/>
    <w:rsid w:val="001840B5"/>
    <w:rsid w:val="0018509F"/>
    <w:rsid w:val="001879D6"/>
    <w:rsid w:val="00195299"/>
    <w:rsid w:val="00195A1F"/>
    <w:rsid w:val="001A3EE5"/>
    <w:rsid w:val="001A688D"/>
    <w:rsid w:val="001A694E"/>
    <w:rsid w:val="001A721A"/>
    <w:rsid w:val="001B20B8"/>
    <w:rsid w:val="001B71FD"/>
    <w:rsid w:val="001C15AC"/>
    <w:rsid w:val="001D11EE"/>
    <w:rsid w:val="001D27FA"/>
    <w:rsid w:val="001D2B5F"/>
    <w:rsid w:val="001D3DFB"/>
    <w:rsid w:val="001D4775"/>
    <w:rsid w:val="001D5FDA"/>
    <w:rsid w:val="001D6CBA"/>
    <w:rsid w:val="001E1601"/>
    <w:rsid w:val="001E271D"/>
    <w:rsid w:val="001F0B9E"/>
    <w:rsid w:val="001F1859"/>
    <w:rsid w:val="001F1A53"/>
    <w:rsid w:val="001F2064"/>
    <w:rsid w:val="002035D2"/>
    <w:rsid w:val="0020377B"/>
    <w:rsid w:val="002042C0"/>
    <w:rsid w:val="002066BF"/>
    <w:rsid w:val="00207249"/>
    <w:rsid w:val="00211207"/>
    <w:rsid w:val="0021230C"/>
    <w:rsid w:val="00213225"/>
    <w:rsid w:val="002135EF"/>
    <w:rsid w:val="002156EA"/>
    <w:rsid w:val="00216760"/>
    <w:rsid w:val="00222769"/>
    <w:rsid w:val="002311C3"/>
    <w:rsid w:val="002312A2"/>
    <w:rsid w:val="002370D2"/>
    <w:rsid w:val="00237B08"/>
    <w:rsid w:val="002504B4"/>
    <w:rsid w:val="002537AE"/>
    <w:rsid w:val="00254B33"/>
    <w:rsid w:val="002608CD"/>
    <w:rsid w:val="00262A27"/>
    <w:rsid w:val="00264E1B"/>
    <w:rsid w:val="00267AE9"/>
    <w:rsid w:val="00267F7B"/>
    <w:rsid w:val="002777FB"/>
    <w:rsid w:val="0028363F"/>
    <w:rsid w:val="002848A5"/>
    <w:rsid w:val="00284BDD"/>
    <w:rsid w:val="00286342"/>
    <w:rsid w:val="00290207"/>
    <w:rsid w:val="00290703"/>
    <w:rsid w:val="002909DA"/>
    <w:rsid w:val="002A1AE1"/>
    <w:rsid w:val="002A4D1D"/>
    <w:rsid w:val="002A6195"/>
    <w:rsid w:val="002A64C7"/>
    <w:rsid w:val="002B1891"/>
    <w:rsid w:val="002B1F37"/>
    <w:rsid w:val="002B27CF"/>
    <w:rsid w:val="002B79F3"/>
    <w:rsid w:val="002C1C1E"/>
    <w:rsid w:val="002C721C"/>
    <w:rsid w:val="002D3665"/>
    <w:rsid w:val="002D469C"/>
    <w:rsid w:val="002D5CB9"/>
    <w:rsid w:val="002D731E"/>
    <w:rsid w:val="002F147E"/>
    <w:rsid w:val="002F348A"/>
    <w:rsid w:val="002F40CE"/>
    <w:rsid w:val="002F40E4"/>
    <w:rsid w:val="003022C5"/>
    <w:rsid w:val="00303A5B"/>
    <w:rsid w:val="00306561"/>
    <w:rsid w:val="003130C8"/>
    <w:rsid w:val="00316047"/>
    <w:rsid w:val="00316B98"/>
    <w:rsid w:val="0032263C"/>
    <w:rsid w:val="00322679"/>
    <w:rsid w:val="00323EC1"/>
    <w:rsid w:val="00325F84"/>
    <w:rsid w:val="003274E5"/>
    <w:rsid w:val="003279AE"/>
    <w:rsid w:val="00332E42"/>
    <w:rsid w:val="00333694"/>
    <w:rsid w:val="00336187"/>
    <w:rsid w:val="00337E69"/>
    <w:rsid w:val="00343223"/>
    <w:rsid w:val="003468D1"/>
    <w:rsid w:val="0034771B"/>
    <w:rsid w:val="003527EB"/>
    <w:rsid w:val="00352DAA"/>
    <w:rsid w:val="00352FFC"/>
    <w:rsid w:val="003537ED"/>
    <w:rsid w:val="00354113"/>
    <w:rsid w:val="003552BC"/>
    <w:rsid w:val="00362039"/>
    <w:rsid w:val="00373DDD"/>
    <w:rsid w:val="003748D9"/>
    <w:rsid w:val="00376461"/>
    <w:rsid w:val="00376925"/>
    <w:rsid w:val="003778CB"/>
    <w:rsid w:val="00383012"/>
    <w:rsid w:val="00383D88"/>
    <w:rsid w:val="003848EE"/>
    <w:rsid w:val="00392260"/>
    <w:rsid w:val="00392805"/>
    <w:rsid w:val="003938EB"/>
    <w:rsid w:val="003A0DB5"/>
    <w:rsid w:val="003A2032"/>
    <w:rsid w:val="003A36BF"/>
    <w:rsid w:val="003B00A7"/>
    <w:rsid w:val="003B3A7D"/>
    <w:rsid w:val="003B4BA1"/>
    <w:rsid w:val="003B62B4"/>
    <w:rsid w:val="003C0BDB"/>
    <w:rsid w:val="003C10A2"/>
    <w:rsid w:val="003C350C"/>
    <w:rsid w:val="003C3883"/>
    <w:rsid w:val="003C5C8A"/>
    <w:rsid w:val="003C6327"/>
    <w:rsid w:val="003C7F62"/>
    <w:rsid w:val="003D4846"/>
    <w:rsid w:val="003E0715"/>
    <w:rsid w:val="003E0A8C"/>
    <w:rsid w:val="003E6628"/>
    <w:rsid w:val="003F03C2"/>
    <w:rsid w:val="003F06A1"/>
    <w:rsid w:val="003F356A"/>
    <w:rsid w:val="003F39A9"/>
    <w:rsid w:val="003F49C0"/>
    <w:rsid w:val="0040034A"/>
    <w:rsid w:val="00401D81"/>
    <w:rsid w:val="00403374"/>
    <w:rsid w:val="00406F5B"/>
    <w:rsid w:val="00413A37"/>
    <w:rsid w:val="0041564F"/>
    <w:rsid w:val="00415C72"/>
    <w:rsid w:val="00433AFE"/>
    <w:rsid w:val="0043564F"/>
    <w:rsid w:val="0045076C"/>
    <w:rsid w:val="004576F7"/>
    <w:rsid w:val="0046413F"/>
    <w:rsid w:val="004648A7"/>
    <w:rsid w:val="00472776"/>
    <w:rsid w:val="00472E80"/>
    <w:rsid w:val="00473C21"/>
    <w:rsid w:val="00475D85"/>
    <w:rsid w:val="00477406"/>
    <w:rsid w:val="00481EAB"/>
    <w:rsid w:val="004831C1"/>
    <w:rsid w:val="004841AB"/>
    <w:rsid w:val="0048637E"/>
    <w:rsid w:val="0049042C"/>
    <w:rsid w:val="004909FA"/>
    <w:rsid w:val="00490EC1"/>
    <w:rsid w:val="00492695"/>
    <w:rsid w:val="00492854"/>
    <w:rsid w:val="00493F9B"/>
    <w:rsid w:val="00494287"/>
    <w:rsid w:val="004A4E93"/>
    <w:rsid w:val="004A7FD9"/>
    <w:rsid w:val="004B0B62"/>
    <w:rsid w:val="004B3739"/>
    <w:rsid w:val="004C7A13"/>
    <w:rsid w:val="004D061B"/>
    <w:rsid w:val="004D5B7C"/>
    <w:rsid w:val="004E14CC"/>
    <w:rsid w:val="004E2229"/>
    <w:rsid w:val="004E299F"/>
    <w:rsid w:val="004E3F04"/>
    <w:rsid w:val="004E504A"/>
    <w:rsid w:val="004E5CA1"/>
    <w:rsid w:val="004E6E7A"/>
    <w:rsid w:val="004E7A3A"/>
    <w:rsid w:val="004F1C4F"/>
    <w:rsid w:val="004F422F"/>
    <w:rsid w:val="005001E7"/>
    <w:rsid w:val="00503A6A"/>
    <w:rsid w:val="005047C5"/>
    <w:rsid w:val="00505946"/>
    <w:rsid w:val="005072ED"/>
    <w:rsid w:val="00512D02"/>
    <w:rsid w:val="00512E7C"/>
    <w:rsid w:val="005151B7"/>
    <w:rsid w:val="005223F5"/>
    <w:rsid w:val="00523CFB"/>
    <w:rsid w:val="0052699E"/>
    <w:rsid w:val="00527931"/>
    <w:rsid w:val="005324D3"/>
    <w:rsid w:val="00536406"/>
    <w:rsid w:val="00542F51"/>
    <w:rsid w:val="00543679"/>
    <w:rsid w:val="005444E3"/>
    <w:rsid w:val="00545BDC"/>
    <w:rsid w:val="005508F7"/>
    <w:rsid w:val="00551107"/>
    <w:rsid w:val="005517D9"/>
    <w:rsid w:val="00552071"/>
    <w:rsid w:val="00554728"/>
    <w:rsid w:val="005556B0"/>
    <w:rsid w:val="00556031"/>
    <w:rsid w:val="0055675C"/>
    <w:rsid w:val="00556901"/>
    <w:rsid w:val="005569FD"/>
    <w:rsid w:val="005615A1"/>
    <w:rsid w:val="00561C43"/>
    <w:rsid w:val="0056201B"/>
    <w:rsid w:val="005629F4"/>
    <w:rsid w:val="00563EA8"/>
    <w:rsid w:val="0056696D"/>
    <w:rsid w:val="00572BCC"/>
    <w:rsid w:val="00572D10"/>
    <w:rsid w:val="00573AA0"/>
    <w:rsid w:val="005752F5"/>
    <w:rsid w:val="00575A61"/>
    <w:rsid w:val="00576A3B"/>
    <w:rsid w:val="00584267"/>
    <w:rsid w:val="005849FD"/>
    <w:rsid w:val="00584CDC"/>
    <w:rsid w:val="005867B5"/>
    <w:rsid w:val="00586CE7"/>
    <w:rsid w:val="00586D7D"/>
    <w:rsid w:val="005902A4"/>
    <w:rsid w:val="005933A8"/>
    <w:rsid w:val="00596373"/>
    <w:rsid w:val="005A4DB5"/>
    <w:rsid w:val="005A4EEB"/>
    <w:rsid w:val="005A5027"/>
    <w:rsid w:val="005B19CC"/>
    <w:rsid w:val="005B3115"/>
    <w:rsid w:val="005B440A"/>
    <w:rsid w:val="005B5B01"/>
    <w:rsid w:val="005B6184"/>
    <w:rsid w:val="005C0CBE"/>
    <w:rsid w:val="005C173C"/>
    <w:rsid w:val="005C40B0"/>
    <w:rsid w:val="005C5736"/>
    <w:rsid w:val="005D0983"/>
    <w:rsid w:val="005F336A"/>
    <w:rsid w:val="005F4821"/>
    <w:rsid w:val="006002F2"/>
    <w:rsid w:val="00600D63"/>
    <w:rsid w:val="006046E9"/>
    <w:rsid w:val="00605856"/>
    <w:rsid w:val="00607AF1"/>
    <w:rsid w:val="00611F81"/>
    <w:rsid w:val="0061390E"/>
    <w:rsid w:val="00620544"/>
    <w:rsid w:val="006214B9"/>
    <w:rsid w:val="00622C4C"/>
    <w:rsid w:val="006251F2"/>
    <w:rsid w:val="00626CC4"/>
    <w:rsid w:val="006279AD"/>
    <w:rsid w:val="006312C1"/>
    <w:rsid w:val="00631E4F"/>
    <w:rsid w:val="00634D34"/>
    <w:rsid w:val="0064224A"/>
    <w:rsid w:val="006427D7"/>
    <w:rsid w:val="00644F30"/>
    <w:rsid w:val="006468AA"/>
    <w:rsid w:val="006500E9"/>
    <w:rsid w:val="0065063F"/>
    <w:rsid w:val="00655515"/>
    <w:rsid w:val="00663CFE"/>
    <w:rsid w:val="006655FA"/>
    <w:rsid w:val="006671E0"/>
    <w:rsid w:val="006708EF"/>
    <w:rsid w:val="0067099A"/>
    <w:rsid w:val="0067498E"/>
    <w:rsid w:val="0067649C"/>
    <w:rsid w:val="0068086E"/>
    <w:rsid w:val="00680961"/>
    <w:rsid w:val="0068188A"/>
    <w:rsid w:val="00681BE3"/>
    <w:rsid w:val="00684947"/>
    <w:rsid w:val="0068512B"/>
    <w:rsid w:val="00685898"/>
    <w:rsid w:val="006859D4"/>
    <w:rsid w:val="00685FCD"/>
    <w:rsid w:val="0069358C"/>
    <w:rsid w:val="00693630"/>
    <w:rsid w:val="006946F9"/>
    <w:rsid w:val="00696C9C"/>
    <w:rsid w:val="006A459A"/>
    <w:rsid w:val="006A5116"/>
    <w:rsid w:val="006A54FB"/>
    <w:rsid w:val="006A6C25"/>
    <w:rsid w:val="006B0C6E"/>
    <w:rsid w:val="006B0F16"/>
    <w:rsid w:val="006B4FB1"/>
    <w:rsid w:val="006B517C"/>
    <w:rsid w:val="006B54D7"/>
    <w:rsid w:val="006B64AB"/>
    <w:rsid w:val="006B7CDF"/>
    <w:rsid w:val="006C07DA"/>
    <w:rsid w:val="006C0E74"/>
    <w:rsid w:val="006C74E6"/>
    <w:rsid w:val="006D054C"/>
    <w:rsid w:val="006D17A0"/>
    <w:rsid w:val="006D1E80"/>
    <w:rsid w:val="006D61A8"/>
    <w:rsid w:val="006E20FA"/>
    <w:rsid w:val="006F062E"/>
    <w:rsid w:val="006F105D"/>
    <w:rsid w:val="006F1FAF"/>
    <w:rsid w:val="006F22DA"/>
    <w:rsid w:val="006F60F6"/>
    <w:rsid w:val="0070765C"/>
    <w:rsid w:val="00707EC1"/>
    <w:rsid w:val="00707F45"/>
    <w:rsid w:val="007204E4"/>
    <w:rsid w:val="00724286"/>
    <w:rsid w:val="00725A6C"/>
    <w:rsid w:val="00726D29"/>
    <w:rsid w:val="0072743A"/>
    <w:rsid w:val="0073469D"/>
    <w:rsid w:val="00734ACB"/>
    <w:rsid w:val="00735676"/>
    <w:rsid w:val="007364FA"/>
    <w:rsid w:val="00743311"/>
    <w:rsid w:val="007443EF"/>
    <w:rsid w:val="00744779"/>
    <w:rsid w:val="00745D70"/>
    <w:rsid w:val="007462DC"/>
    <w:rsid w:val="00750036"/>
    <w:rsid w:val="007500F1"/>
    <w:rsid w:val="00761902"/>
    <w:rsid w:val="00762590"/>
    <w:rsid w:val="00763D00"/>
    <w:rsid w:val="0076425C"/>
    <w:rsid w:val="007675C5"/>
    <w:rsid w:val="007712CB"/>
    <w:rsid w:val="00774D64"/>
    <w:rsid w:val="007848BC"/>
    <w:rsid w:val="00785546"/>
    <w:rsid w:val="0079207C"/>
    <w:rsid w:val="00797391"/>
    <w:rsid w:val="00797533"/>
    <w:rsid w:val="00797C99"/>
    <w:rsid w:val="007A240A"/>
    <w:rsid w:val="007A3FBA"/>
    <w:rsid w:val="007A5088"/>
    <w:rsid w:val="007A58B6"/>
    <w:rsid w:val="007B4295"/>
    <w:rsid w:val="007B5CD6"/>
    <w:rsid w:val="007B7A41"/>
    <w:rsid w:val="007C031C"/>
    <w:rsid w:val="007C55DC"/>
    <w:rsid w:val="007D0B4B"/>
    <w:rsid w:val="007D347C"/>
    <w:rsid w:val="007D630E"/>
    <w:rsid w:val="007D67B4"/>
    <w:rsid w:val="007E0008"/>
    <w:rsid w:val="007E382D"/>
    <w:rsid w:val="007E3875"/>
    <w:rsid w:val="007E4D3B"/>
    <w:rsid w:val="007E5458"/>
    <w:rsid w:val="007E5AB6"/>
    <w:rsid w:val="007E6009"/>
    <w:rsid w:val="007E66F0"/>
    <w:rsid w:val="007E756A"/>
    <w:rsid w:val="007F203F"/>
    <w:rsid w:val="007F2B71"/>
    <w:rsid w:val="007F361D"/>
    <w:rsid w:val="007F37F2"/>
    <w:rsid w:val="007F46F6"/>
    <w:rsid w:val="007F6C24"/>
    <w:rsid w:val="007F7EF0"/>
    <w:rsid w:val="00801B97"/>
    <w:rsid w:val="00803999"/>
    <w:rsid w:val="00803D58"/>
    <w:rsid w:val="008123DA"/>
    <w:rsid w:val="00813196"/>
    <w:rsid w:val="00816784"/>
    <w:rsid w:val="00816943"/>
    <w:rsid w:val="00816E8F"/>
    <w:rsid w:val="0082124D"/>
    <w:rsid w:val="00822731"/>
    <w:rsid w:val="008233FD"/>
    <w:rsid w:val="008235C3"/>
    <w:rsid w:val="0082656B"/>
    <w:rsid w:val="00827BFF"/>
    <w:rsid w:val="00827CD2"/>
    <w:rsid w:val="00832194"/>
    <w:rsid w:val="008330A5"/>
    <w:rsid w:val="008354F2"/>
    <w:rsid w:val="00835836"/>
    <w:rsid w:val="00837614"/>
    <w:rsid w:val="008420DE"/>
    <w:rsid w:val="00846238"/>
    <w:rsid w:val="008510D9"/>
    <w:rsid w:val="008513C2"/>
    <w:rsid w:val="00851997"/>
    <w:rsid w:val="00853736"/>
    <w:rsid w:val="00857CE7"/>
    <w:rsid w:val="0086389A"/>
    <w:rsid w:val="00866496"/>
    <w:rsid w:val="008707FF"/>
    <w:rsid w:val="00871D13"/>
    <w:rsid w:val="008762A4"/>
    <w:rsid w:val="008843BD"/>
    <w:rsid w:val="0088483D"/>
    <w:rsid w:val="00885C0A"/>
    <w:rsid w:val="00886B4B"/>
    <w:rsid w:val="008879C8"/>
    <w:rsid w:val="00891901"/>
    <w:rsid w:val="0089317E"/>
    <w:rsid w:val="00893C32"/>
    <w:rsid w:val="00895DDA"/>
    <w:rsid w:val="008A704A"/>
    <w:rsid w:val="008A7407"/>
    <w:rsid w:val="008B3602"/>
    <w:rsid w:val="008B52BD"/>
    <w:rsid w:val="008B6AB1"/>
    <w:rsid w:val="008C09F2"/>
    <w:rsid w:val="008C2B20"/>
    <w:rsid w:val="008C412D"/>
    <w:rsid w:val="008C4144"/>
    <w:rsid w:val="008C7FCF"/>
    <w:rsid w:val="008D1283"/>
    <w:rsid w:val="008E5C30"/>
    <w:rsid w:val="008E7125"/>
    <w:rsid w:val="008F6E85"/>
    <w:rsid w:val="008F7714"/>
    <w:rsid w:val="00901B41"/>
    <w:rsid w:val="0090222F"/>
    <w:rsid w:val="009045A4"/>
    <w:rsid w:val="009057B4"/>
    <w:rsid w:val="00906CED"/>
    <w:rsid w:val="00907A74"/>
    <w:rsid w:val="00913DC4"/>
    <w:rsid w:val="00917EC1"/>
    <w:rsid w:val="00921C91"/>
    <w:rsid w:val="00927D20"/>
    <w:rsid w:val="0093475A"/>
    <w:rsid w:val="00935DF7"/>
    <w:rsid w:val="00940FA5"/>
    <w:rsid w:val="009430AE"/>
    <w:rsid w:val="00943ACF"/>
    <w:rsid w:val="009475C0"/>
    <w:rsid w:val="0096052A"/>
    <w:rsid w:val="009608A8"/>
    <w:rsid w:val="00971FD8"/>
    <w:rsid w:val="0097333B"/>
    <w:rsid w:val="00980407"/>
    <w:rsid w:val="00981BC2"/>
    <w:rsid w:val="00983EDC"/>
    <w:rsid w:val="009848AC"/>
    <w:rsid w:val="0099048B"/>
    <w:rsid w:val="00991C01"/>
    <w:rsid w:val="00992BC9"/>
    <w:rsid w:val="009970A5"/>
    <w:rsid w:val="009A3BED"/>
    <w:rsid w:val="009A3D79"/>
    <w:rsid w:val="009B0BD7"/>
    <w:rsid w:val="009B2BD3"/>
    <w:rsid w:val="009C16FD"/>
    <w:rsid w:val="009C65D9"/>
    <w:rsid w:val="009D171E"/>
    <w:rsid w:val="009D3E17"/>
    <w:rsid w:val="009D621D"/>
    <w:rsid w:val="009E22E1"/>
    <w:rsid w:val="009E43B0"/>
    <w:rsid w:val="009E56C7"/>
    <w:rsid w:val="009E7029"/>
    <w:rsid w:val="009F02B7"/>
    <w:rsid w:val="009F05DD"/>
    <w:rsid w:val="00A025B2"/>
    <w:rsid w:val="00A02EDE"/>
    <w:rsid w:val="00A0312A"/>
    <w:rsid w:val="00A04F88"/>
    <w:rsid w:val="00A05190"/>
    <w:rsid w:val="00A05446"/>
    <w:rsid w:val="00A06F40"/>
    <w:rsid w:val="00A10AC2"/>
    <w:rsid w:val="00A10B05"/>
    <w:rsid w:val="00A15C15"/>
    <w:rsid w:val="00A202C7"/>
    <w:rsid w:val="00A267D1"/>
    <w:rsid w:val="00A27012"/>
    <w:rsid w:val="00A272CB"/>
    <w:rsid w:val="00A302D5"/>
    <w:rsid w:val="00A37495"/>
    <w:rsid w:val="00A4226E"/>
    <w:rsid w:val="00A55402"/>
    <w:rsid w:val="00A5643A"/>
    <w:rsid w:val="00A652CC"/>
    <w:rsid w:val="00A7119F"/>
    <w:rsid w:val="00A71B0E"/>
    <w:rsid w:val="00A72A68"/>
    <w:rsid w:val="00A74469"/>
    <w:rsid w:val="00A7464D"/>
    <w:rsid w:val="00A747D8"/>
    <w:rsid w:val="00A776E9"/>
    <w:rsid w:val="00A8365A"/>
    <w:rsid w:val="00A85090"/>
    <w:rsid w:val="00A85426"/>
    <w:rsid w:val="00A86ABD"/>
    <w:rsid w:val="00A919FE"/>
    <w:rsid w:val="00A92D1D"/>
    <w:rsid w:val="00A956FE"/>
    <w:rsid w:val="00A976AC"/>
    <w:rsid w:val="00AA24FD"/>
    <w:rsid w:val="00AA2CC2"/>
    <w:rsid w:val="00AA346D"/>
    <w:rsid w:val="00AA6198"/>
    <w:rsid w:val="00AA6E3B"/>
    <w:rsid w:val="00AA7790"/>
    <w:rsid w:val="00AA7A2E"/>
    <w:rsid w:val="00AB0283"/>
    <w:rsid w:val="00AB1835"/>
    <w:rsid w:val="00AB1A75"/>
    <w:rsid w:val="00AB1FBF"/>
    <w:rsid w:val="00AB46D9"/>
    <w:rsid w:val="00AB5AF6"/>
    <w:rsid w:val="00AB723D"/>
    <w:rsid w:val="00AB7CBC"/>
    <w:rsid w:val="00AC0858"/>
    <w:rsid w:val="00AC09B1"/>
    <w:rsid w:val="00AC0F3B"/>
    <w:rsid w:val="00AC21C2"/>
    <w:rsid w:val="00AD560D"/>
    <w:rsid w:val="00AE5480"/>
    <w:rsid w:val="00AF186D"/>
    <w:rsid w:val="00AF3DFD"/>
    <w:rsid w:val="00AF54D3"/>
    <w:rsid w:val="00B0616D"/>
    <w:rsid w:val="00B06AC4"/>
    <w:rsid w:val="00B132C1"/>
    <w:rsid w:val="00B149F1"/>
    <w:rsid w:val="00B15748"/>
    <w:rsid w:val="00B20AA2"/>
    <w:rsid w:val="00B22FEA"/>
    <w:rsid w:val="00B23F0F"/>
    <w:rsid w:val="00B2479E"/>
    <w:rsid w:val="00B270CB"/>
    <w:rsid w:val="00B2739B"/>
    <w:rsid w:val="00B27B7B"/>
    <w:rsid w:val="00B33E1D"/>
    <w:rsid w:val="00B352EA"/>
    <w:rsid w:val="00B3788E"/>
    <w:rsid w:val="00B425EF"/>
    <w:rsid w:val="00B42C17"/>
    <w:rsid w:val="00B42F7E"/>
    <w:rsid w:val="00B44D73"/>
    <w:rsid w:val="00B46AA3"/>
    <w:rsid w:val="00B50090"/>
    <w:rsid w:val="00B6492F"/>
    <w:rsid w:val="00B65338"/>
    <w:rsid w:val="00B72635"/>
    <w:rsid w:val="00B82F2B"/>
    <w:rsid w:val="00B8426C"/>
    <w:rsid w:val="00B860DA"/>
    <w:rsid w:val="00B86855"/>
    <w:rsid w:val="00B86C35"/>
    <w:rsid w:val="00B87FDF"/>
    <w:rsid w:val="00B9314E"/>
    <w:rsid w:val="00B931E7"/>
    <w:rsid w:val="00B93540"/>
    <w:rsid w:val="00B951F0"/>
    <w:rsid w:val="00BB6C46"/>
    <w:rsid w:val="00BC32BF"/>
    <w:rsid w:val="00BC52E0"/>
    <w:rsid w:val="00BC6803"/>
    <w:rsid w:val="00BD08BB"/>
    <w:rsid w:val="00BD6CAA"/>
    <w:rsid w:val="00BD7089"/>
    <w:rsid w:val="00BE0395"/>
    <w:rsid w:val="00BE1ECC"/>
    <w:rsid w:val="00BE5A0F"/>
    <w:rsid w:val="00BE72A6"/>
    <w:rsid w:val="00BF22D0"/>
    <w:rsid w:val="00BF3597"/>
    <w:rsid w:val="00BF3B53"/>
    <w:rsid w:val="00BF5FF0"/>
    <w:rsid w:val="00BF6710"/>
    <w:rsid w:val="00C00978"/>
    <w:rsid w:val="00C0115C"/>
    <w:rsid w:val="00C02170"/>
    <w:rsid w:val="00C07C5D"/>
    <w:rsid w:val="00C21B96"/>
    <w:rsid w:val="00C30B5E"/>
    <w:rsid w:val="00C3376E"/>
    <w:rsid w:val="00C3720A"/>
    <w:rsid w:val="00C41619"/>
    <w:rsid w:val="00C449A2"/>
    <w:rsid w:val="00C554AC"/>
    <w:rsid w:val="00C562D8"/>
    <w:rsid w:val="00C604C1"/>
    <w:rsid w:val="00C60EAA"/>
    <w:rsid w:val="00C62BC8"/>
    <w:rsid w:val="00C62DED"/>
    <w:rsid w:val="00C70202"/>
    <w:rsid w:val="00C8361F"/>
    <w:rsid w:val="00C837A9"/>
    <w:rsid w:val="00C84D0B"/>
    <w:rsid w:val="00C929FD"/>
    <w:rsid w:val="00C96274"/>
    <w:rsid w:val="00C9757B"/>
    <w:rsid w:val="00CA27E5"/>
    <w:rsid w:val="00CA34B0"/>
    <w:rsid w:val="00CB056E"/>
    <w:rsid w:val="00CB5299"/>
    <w:rsid w:val="00CC03AF"/>
    <w:rsid w:val="00CC150C"/>
    <w:rsid w:val="00CC3B3E"/>
    <w:rsid w:val="00CC5139"/>
    <w:rsid w:val="00CD4DC9"/>
    <w:rsid w:val="00CD6B06"/>
    <w:rsid w:val="00CD78EE"/>
    <w:rsid w:val="00CE51FF"/>
    <w:rsid w:val="00CE55D5"/>
    <w:rsid w:val="00CE7295"/>
    <w:rsid w:val="00CF2C85"/>
    <w:rsid w:val="00D01B0B"/>
    <w:rsid w:val="00D01DB2"/>
    <w:rsid w:val="00D02EFE"/>
    <w:rsid w:val="00D045C8"/>
    <w:rsid w:val="00D14687"/>
    <w:rsid w:val="00D15BD2"/>
    <w:rsid w:val="00D16A00"/>
    <w:rsid w:val="00D26A7D"/>
    <w:rsid w:val="00D330E8"/>
    <w:rsid w:val="00D33E3D"/>
    <w:rsid w:val="00D4015B"/>
    <w:rsid w:val="00D40F7C"/>
    <w:rsid w:val="00D4301D"/>
    <w:rsid w:val="00D45D99"/>
    <w:rsid w:val="00D53356"/>
    <w:rsid w:val="00D54204"/>
    <w:rsid w:val="00D55FBA"/>
    <w:rsid w:val="00D5613E"/>
    <w:rsid w:val="00D57748"/>
    <w:rsid w:val="00D6777D"/>
    <w:rsid w:val="00D70A1B"/>
    <w:rsid w:val="00D759C2"/>
    <w:rsid w:val="00D76D44"/>
    <w:rsid w:val="00D77969"/>
    <w:rsid w:val="00D84423"/>
    <w:rsid w:val="00D86BDC"/>
    <w:rsid w:val="00D8770B"/>
    <w:rsid w:val="00D942AD"/>
    <w:rsid w:val="00D9549E"/>
    <w:rsid w:val="00D9550A"/>
    <w:rsid w:val="00DA2170"/>
    <w:rsid w:val="00DA3C7F"/>
    <w:rsid w:val="00DA62DC"/>
    <w:rsid w:val="00DA6337"/>
    <w:rsid w:val="00DB2243"/>
    <w:rsid w:val="00DB7895"/>
    <w:rsid w:val="00DB7A80"/>
    <w:rsid w:val="00DC39C3"/>
    <w:rsid w:val="00DC3A2C"/>
    <w:rsid w:val="00DD0E90"/>
    <w:rsid w:val="00DD1FBA"/>
    <w:rsid w:val="00DD5D2F"/>
    <w:rsid w:val="00DD7B58"/>
    <w:rsid w:val="00DE051D"/>
    <w:rsid w:val="00DE13D2"/>
    <w:rsid w:val="00DE145D"/>
    <w:rsid w:val="00DE7846"/>
    <w:rsid w:val="00DF045B"/>
    <w:rsid w:val="00DF4170"/>
    <w:rsid w:val="00DF4CE1"/>
    <w:rsid w:val="00DF51F7"/>
    <w:rsid w:val="00E03196"/>
    <w:rsid w:val="00E03874"/>
    <w:rsid w:val="00E11C90"/>
    <w:rsid w:val="00E1269B"/>
    <w:rsid w:val="00E1620B"/>
    <w:rsid w:val="00E17ECB"/>
    <w:rsid w:val="00E205C6"/>
    <w:rsid w:val="00E21DD1"/>
    <w:rsid w:val="00E2301F"/>
    <w:rsid w:val="00E30223"/>
    <w:rsid w:val="00E31FC1"/>
    <w:rsid w:val="00E33E08"/>
    <w:rsid w:val="00E42F44"/>
    <w:rsid w:val="00E4712B"/>
    <w:rsid w:val="00E47E19"/>
    <w:rsid w:val="00E547BB"/>
    <w:rsid w:val="00E62004"/>
    <w:rsid w:val="00E67F5B"/>
    <w:rsid w:val="00E7233A"/>
    <w:rsid w:val="00E72581"/>
    <w:rsid w:val="00E74C61"/>
    <w:rsid w:val="00E7534F"/>
    <w:rsid w:val="00E75CD5"/>
    <w:rsid w:val="00E77C0C"/>
    <w:rsid w:val="00E831F9"/>
    <w:rsid w:val="00E83BBE"/>
    <w:rsid w:val="00E83DD0"/>
    <w:rsid w:val="00E87C79"/>
    <w:rsid w:val="00E9459E"/>
    <w:rsid w:val="00E95FCB"/>
    <w:rsid w:val="00E96C81"/>
    <w:rsid w:val="00E97B3C"/>
    <w:rsid w:val="00EA2166"/>
    <w:rsid w:val="00EA3684"/>
    <w:rsid w:val="00EA38F8"/>
    <w:rsid w:val="00EA7959"/>
    <w:rsid w:val="00EB3AD3"/>
    <w:rsid w:val="00EB4399"/>
    <w:rsid w:val="00EB4FA0"/>
    <w:rsid w:val="00EB5F9A"/>
    <w:rsid w:val="00EB7440"/>
    <w:rsid w:val="00EC10E2"/>
    <w:rsid w:val="00EC2156"/>
    <w:rsid w:val="00EC34F1"/>
    <w:rsid w:val="00ED205B"/>
    <w:rsid w:val="00ED46AE"/>
    <w:rsid w:val="00ED5998"/>
    <w:rsid w:val="00ED6209"/>
    <w:rsid w:val="00ED653B"/>
    <w:rsid w:val="00EE0367"/>
    <w:rsid w:val="00EE193F"/>
    <w:rsid w:val="00EF0935"/>
    <w:rsid w:val="00EF0EAF"/>
    <w:rsid w:val="00EF77D1"/>
    <w:rsid w:val="00F01408"/>
    <w:rsid w:val="00F01AC8"/>
    <w:rsid w:val="00F02868"/>
    <w:rsid w:val="00F1771C"/>
    <w:rsid w:val="00F23360"/>
    <w:rsid w:val="00F275B7"/>
    <w:rsid w:val="00F30F80"/>
    <w:rsid w:val="00F3517A"/>
    <w:rsid w:val="00F36123"/>
    <w:rsid w:val="00F36612"/>
    <w:rsid w:val="00F3723D"/>
    <w:rsid w:val="00F40CC1"/>
    <w:rsid w:val="00F41038"/>
    <w:rsid w:val="00F43347"/>
    <w:rsid w:val="00F44C34"/>
    <w:rsid w:val="00F469F8"/>
    <w:rsid w:val="00F5035E"/>
    <w:rsid w:val="00F51213"/>
    <w:rsid w:val="00F51AA0"/>
    <w:rsid w:val="00F549CB"/>
    <w:rsid w:val="00F57BF6"/>
    <w:rsid w:val="00F64AA2"/>
    <w:rsid w:val="00F65B91"/>
    <w:rsid w:val="00F65C91"/>
    <w:rsid w:val="00F66413"/>
    <w:rsid w:val="00F71558"/>
    <w:rsid w:val="00F7522B"/>
    <w:rsid w:val="00F75AF8"/>
    <w:rsid w:val="00F76266"/>
    <w:rsid w:val="00F8224C"/>
    <w:rsid w:val="00F86F6F"/>
    <w:rsid w:val="00F91F5A"/>
    <w:rsid w:val="00F95411"/>
    <w:rsid w:val="00F95D89"/>
    <w:rsid w:val="00FA20DB"/>
    <w:rsid w:val="00FA2E18"/>
    <w:rsid w:val="00FA714E"/>
    <w:rsid w:val="00FB1259"/>
    <w:rsid w:val="00FB1F89"/>
    <w:rsid w:val="00FB518A"/>
    <w:rsid w:val="00FB6675"/>
    <w:rsid w:val="00FC0555"/>
    <w:rsid w:val="00FC05AC"/>
    <w:rsid w:val="00FC2C56"/>
    <w:rsid w:val="00FC617B"/>
    <w:rsid w:val="00FC76EC"/>
    <w:rsid w:val="00FC7A76"/>
    <w:rsid w:val="00FD170C"/>
    <w:rsid w:val="00FD1AC9"/>
    <w:rsid w:val="00FD2A79"/>
    <w:rsid w:val="00FD45B8"/>
    <w:rsid w:val="00FD6A21"/>
    <w:rsid w:val="00FD7278"/>
    <w:rsid w:val="00FE3F29"/>
    <w:rsid w:val="00FE407A"/>
    <w:rsid w:val="00FE5961"/>
    <w:rsid w:val="00FF0B7B"/>
    <w:rsid w:val="00FF1F7B"/>
    <w:rsid w:val="39225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491D027D"/>
  <w15:chartTrackingRefBased/>
  <w15:docId w15:val="{89CDEBF3-DAB3-4C67-A836-79BF94AC3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CB9"/>
    <w:pPr>
      <w:spacing w:after="0" w:line="240" w:lineRule="auto"/>
      <w:jc w:val="both"/>
    </w:pPr>
    <w:rPr>
      <w:rFonts w:ascii="Times New Roman" w:eastAsia="MS Mincho" w:hAnsi="Times New Roman" w:cs="Times New Roman"/>
      <w:szCs w:val="24"/>
      <w:lang w:val="en-GB"/>
    </w:rPr>
  </w:style>
  <w:style w:type="paragraph" w:styleId="Heading1">
    <w:name w:val="heading 1"/>
    <w:basedOn w:val="Normal"/>
    <w:next w:val="Normal"/>
    <w:link w:val="Heading1Char"/>
    <w:qFormat/>
    <w:rsid w:val="002D5CB9"/>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2D5CB9"/>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2D5CB9"/>
    <w:pPr>
      <w:keepNext/>
      <w:spacing w:before="240" w:after="60"/>
      <w:outlineLvl w:val="2"/>
    </w:pPr>
    <w:rPr>
      <w:rFonts w:ascii="Calibri" w:hAnsi="Calibri"/>
      <w:b/>
      <w:bCs/>
      <w:sz w:val="26"/>
      <w:szCs w:val="26"/>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D5CB9"/>
    <w:pPr>
      <w:spacing w:after="0" w:line="240" w:lineRule="auto"/>
    </w:pPr>
    <w:rPr>
      <w:rFonts w:ascii="Cambria" w:eastAsia="MS Mincho" w:hAnsi="Cambria"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pPr>
      <w:widowControl w:val="0"/>
      <w:autoSpaceDE w:val="0"/>
      <w:autoSpaceDN w:val="0"/>
    </w:pPr>
    <w:rPr>
      <w:rFonts w:eastAsia="Times New Roman"/>
    </w:rPr>
  </w:style>
  <w:style w:type="character" w:customStyle="1" w:styleId="BodyTextChar">
    <w:name w:val="Body Text Char"/>
    <w:basedOn w:val="DefaultParagraphFont"/>
    <w:link w:val="BodyText"/>
    <w:rPr>
      <w:rFonts w:ascii="Times New Roman" w:eastAsia="Times New Roman" w:hAnsi="Times New Roman" w:cs="Times New Roman"/>
    </w:rPr>
  </w:style>
  <w:style w:type="paragraph" w:customStyle="1" w:styleId="IPPParagraphnumbering">
    <w:name w:val="IPP Paragraph numbering"/>
    <w:basedOn w:val="IPPNormal"/>
    <w:link w:val="IPPParagraphnumberingZchn"/>
    <w:qFormat/>
    <w:rsid w:val="002D5CB9"/>
    <w:pPr>
      <w:tabs>
        <w:tab w:val="num" w:pos="0"/>
      </w:tabs>
      <w:ind w:hanging="482"/>
    </w:pPr>
    <w:rPr>
      <w:lang w:val="en-US"/>
    </w:rPr>
  </w:style>
  <w:style w:type="character" w:customStyle="1" w:styleId="IPPParagraphnumberingZchn">
    <w:name w:val="IPP Paragraph numbering Zchn"/>
    <w:basedOn w:val="DefaultParagraphFont"/>
    <w:link w:val="IPPParagraphnumbering"/>
    <w:qFormat/>
    <w:rPr>
      <w:rFonts w:ascii="Times New Roman" w:eastAsia="Times" w:hAnsi="Times New Roman" w:cs="Times New Roman"/>
      <w:szCs w:val="24"/>
    </w:rPr>
  </w:style>
  <w:style w:type="character" w:customStyle="1" w:styleId="Heading1Char">
    <w:name w:val="Heading 1 Char"/>
    <w:basedOn w:val="DefaultParagraphFont"/>
    <w:link w:val="Heading1"/>
    <w:rsid w:val="002D5CB9"/>
    <w:rPr>
      <w:rFonts w:ascii="Times New Roman" w:eastAsia="MS Mincho" w:hAnsi="Times New Roman" w:cs="Times New Roman"/>
      <w:b/>
      <w:bCs/>
      <w:szCs w:val="24"/>
      <w:lang w:val="en-GB"/>
    </w:rPr>
  </w:style>
  <w:style w:type="character" w:customStyle="1" w:styleId="Heading2Char">
    <w:name w:val="Heading 2 Char"/>
    <w:basedOn w:val="DefaultParagraphFont"/>
    <w:link w:val="Heading2"/>
    <w:rsid w:val="002D5CB9"/>
    <w:rPr>
      <w:rFonts w:ascii="Calibri" w:eastAsia="MS Mincho" w:hAnsi="Calibri" w:cs="Times New Roman"/>
      <w:b/>
      <w:bCs/>
      <w:i/>
      <w:iCs/>
      <w:sz w:val="28"/>
      <w:szCs w:val="28"/>
      <w:lang w:val="en-GB"/>
    </w:rPr>
  </w:style>
  <w:style w:type="character" w:customStyle="1" w:styleId="Heading3Char">
    <w:name w:val="Heading 3 Char"/>
    <w:basedOn w:val="DefaultParagraphFont"/>
    <w:link w:val="Heading3"/>
    <w:rsid w:val="002D5CB9"/>
    <w:rPr>
      <w:rFonts w:ascii="Calibri" w:eastAsia="MS Mincho" w:hAnsi="Calibri" w:cs="Times New Roman"/>
      <w:b/>
      <w:bCs/>
      <w:sz w:val="26"/>
      <w:szCs w:val="26"/>
      <w:lang w:val="en-GB"/>
    </w:rPr>
  </w:style>
  <w:style w:type="character" w:customStyle="1" w:styleId="Heading4Char">
    <w:name w:val="Heading 4 Char"/>
    <w:basedOn w:val="DefaultParagraphFont"/>
    <w:link w:val="Heading4"/>
    <w:uiPriority w:val="9"/>
    <w:semiHidden/>
    <w:rPr>
      <w:rFonts w:ascii="Times New Roman" w:eastAsia="MS Mincho" w:hAnsi="Times New Roman" w:cs="Times New Roman"/>
      <w:b/>
      <w:sz w:val="24"/>
      <w:szCs w:val="24"/>
      <w:lang w:val="en-GB"/>
    </w:rPr>
  </w:style>
  <w:style w:type="character" w:customStyle="1" w:styleId="Heading5Char">
    <w:name w:val="Heading 5 Char"/>
    <w:basedOn w:val="DefaultParagraphFont"/>
    <w:link w:val="Heading5"/>
    <w:uiPriority w:val="9"/>
    <w:semiHidden/>
    <w:rPr>
      <w:rFonts w:ascii="Times New Roman" w:eastAsia="MS Mincho" w:hAnsi="Times New Roman" w:cs="Times New Roman"/>
      <w:b/>
      <w:lang w:val="en-GB"/>
    </w:rPr>
  </w:style>
  <w:style w:type="character" w:customStyle="1" w:styleId="Heading6Char">
    <w:name w:val="Heading 6 Char"/>
    <w:basedOn w:val="DefaultParagraphFont"/>
    <w:link w:val="Heading6"/>
    <w:uiPriority w:val="9"/>
    <w:semiHidden/>
    <w:rPr>
      <w:rFonts w:ascii="Times New Roman" w:eastAsia="MS Mincho" w:hAnsi="Times New Roman" w:cs="Times New Roman"/>
      <w:b/>
      <w:sz w:val="20"/>
      <w:szCs w:val="20"/>
      <w:lang w:val="en-GB"/>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4D78" w:themeColor="accent1" w:themeShade="7F"/>
      <w:szCs w:val="24"/>
      <w:lang w:val="en-GB"/>
    </w:r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TitleChar">
    <w:name w:val="Title Char"/>
    <w:basedOn w:val="DefaultParagraphFont"/>
    <w:link w:val="Title"/>
    <w:uiPriority w:val="10"/>
    <w:rPr>
      <w:rFonts w:ascii="Times New Roman" w:eastAsia="MS Mincho" w:hAnsi="Times New Roman" w:cs="Times New Roman"/>
      <w:b/>
      <w:sz w:val="72"/>
      <w:szCs w:val="72"/>
      <w:lang w:val="en-GB"/>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rFonts w:ascii="Times New Roman" w:eastAsia="MS Mincho" w:hAnsi="Times New Roman" w:cs="Times New Roman"/>
      <w:sz w:val="20"/>
      <w:szCs w:val="20"/>
      <w:lang w:val="en-GB"/>
    </w:rPr>
  </w:style>
  <w:style w:type="paragraph" w:styleId="BalloonText">
    <w:name w:val="Balloon Text"/>
    <w:basedOn w:val="Normal"/>
    <w:link w:val="BalloonTextChar"/>
    <w:rsid w:val="002D5CB9"/>
    <w:rPr>
      <w:rFonts w:ascii="Tahoma" w:hAnsi="Tahoma" w:cs="Tahoma"/>
      <w:sz w:val="16"/>
      <w:szCs w:val="16"/>
    </w:rPr>
  </w:style>
  <w:style w:type="character" w:customStyle="1" w:styleId="BalloonTextChar">
    <w:name w:val="Balloon Text Char"/>
    <w:basedOn w:val="DefaultParagraphFont"/>
    <w:link w:val="BalloonText"/>
    <w:rsid w:val="002D5CB9"/>
    <w:rPr>
      <w:rFonts w:ascii="Tahoma" w:eastAsia="MS Mincho" w:hAnsi="Tahoma" w:cs="Tahoma"/>
      <w:sz w:val="16"/>
      <w:szCs w:val="16"/>
      <w:lang w:val="en-GB"/>
    </w:rPr>
  </w:style>
  <w:style w:type="character" w:customStyle="1" w:styleId="IPPnormalitalics">
    <w:name w:val="IPP normal italics"/>
    <w:basedOn w:val="DefaultParagraphFont"/>
    <w:rsid w:val="002D5CB9"/>
    <w:rPr>
      <w:rFonts w:ascii="Times New Roman" w:hAnsi="Times New Roman"/>
      <w:i/>
      <w:sz w:val="22"/>
      <w:lang w:val="en-US"/>
    </w:rPr>
  </w:style>
  <w:style w:type="paragraph" w:customStyle="1" w:styleId="IPPBullet1">
    <w:name w:val="IPP Bullet1"/>
    <w:basedOn w:val="IPPBullet1Last"/>
    <w:qFormat/>
    <w:rsid w:val="002D5CB9"/>
    <w:pPr>
      <w:numPr>
        <w:numId w:val="9"/>
      </w:numPr>
      <w:spacing w:after="60"/>
      <w:ind w:left="567" w:hanging="567"/>
    </w:pPr>
    <w:rPr>
      <w:lang w:val="en-US"/>
    </w:rPr>
  </w:style>
  <w:style w:type="paragraph" w:customStyle="1" w:styleId="IPPNormalCloseSpace">
    <w:name w:val="IPP NormalCloseSpace"/>
    <w:basedOn w:val="Normal"/>
    <w:qFormat/>
    <w:rsid w:val="002D5CB9"/>
    <w:pPr>
      <w:keepNext/>
      <w:spacing w:after="60"/>
    </w:pPr>
  </w:style>
  <w:style w:type="character" w:customStyle="1" w:styleId="PleaseReviewParagraphId">
    <w:name w:val="PleaseReviewParagraphId"/>
    <w:basedOn w:val="DefaultParagraphFont"/>
    <w:rPr>
      <w:rFonts w:ascii="Arial" w:hAnsi="Arial"/>
      <w:b w:val="0"/>
      <w:i w:val="0"/>
      <w:color w:val="000080"/>
      <w:sz w:val="16"/>
      <w:u w:val="none"/>
    </w:rPr>
  </w:style>
  <w:style w:type="paragraph" w:styleId="ListParagraph">
    <w:name w:val="List Paragraph"/>
    <w:basedOn w:val="Normal"/>
    <w:uiPriority w:val="34"/>
    <w:qFormat/>
    <w:rsid w:val="002D5CB9"/>
    <w:pPr>
      <w:spacing w:line="240" w:lineRule="atLeast"/>
      <w:ind w:leftChars="400" w:left="800"/>
    </w:pPr>
    <w:rPr>
      <w:rFonts w:ascii="Verdana" w:eastAsia="Times New Roman" w:hAnsi="Verdana"/>
      <w:sz w:val="20"/>
      <w:lang w:val="nl-NL" w:eastAsia="nl-NL"/>
    </w:rPr>
  </w:style>
  <w:style w:type="paragraph" w:styleId="CommentSubject">
    <w:name w:val="annotation subject"/>
    <w:basedOn w:val="CommentText"/>
    <w:next w:val="CommentText"/>
    <w:link w:val="CommentSubjectChar"/>
    <w:uiPriority w:val="99"/>
    <w:semiHidden/>
    <w:unhideWhenUsed/>
    <w:qFormat/>
    <w:pPr>
      <w:spacing w:after="160"/>
      <w:jc w:val="left"/>
    </w:pPr>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qFormat/>
    <w:rPr>
      <w:rFonts w:ascii="Times New Roman" w:eastAsia="MS Mincho" w:hAnsi="Times New Roman" w:cs="Times New Roman"/>
      <w:b/>
      <w:bCs/>
      <w:sz w:val="20"/>
      <w:szCs w:val="20"/>
      <w:lang w:val="en-GB"/>
    </w:rPr>
  </w:style>
  <w:style w:type="character" w:styleId="Hyperlink">
    <w:name w:val="Hyperlink"/>
    <w:basedOn w:val="DefaultParagraphFont"/>
    <w:unhideWhenUsed/>
    <w:rsid w:val="002D5CB9"/>
    <w:rPr>
      <w:color w:val="0000FF"/>
      <w:u w:val="none"/>
    </w:rPr>
  </w:style>
  <w:style w:type="paragraph" w:customStyle="1" w:styleId="IPPArialTable">
    <w:name w:val="IPP Arial Table"/>
    <w:basedOn w:val="IPPArial"/>
    <w:qFormat/>
    <w:rsid w:val="002D5CB9"/>
    <w:pPr>
      <w:spacing w:before="60" w:after="60"/>
      <w:jc w:val="left"/>
    </w:pPr>
  </w:style>
  <w:style w:type="paragraph" w:customStyle="1" w:styleId="IPPArialFootnote">
    <w:name w:val="IPP Arial Footnote"/>
    <w:basedOn w:val="IPPArialTable"/>
    <w:qFormat/>
    <w:rsid w:val="002D5CB9"/>
    <w:pPr>
      <w:tabs>
        <w:tab w:val="left" w:pos="28"/>
      </w:tabs>
      <w:ind w:left="284" w:hanging="284"/>
    </w:pPr>
    <w:rPr>
      <w:sz w:val="16"/>
    </w:rPr>
  </w:style>
  <w:style w:type="paragraph" w:customStyle="1" w:styleId="IPPNormal">
    <w:name w:val="IPP Normal"/>
    <w:basedOn w:val="Normal"/>
    <w:qFormat/>
    <w:rsid w:val="002D5CB9"/>
    <w:pPr>
      <w:spacing w:after="180"/>
    </w:pPr>
    <w:rPr>
      <w:rFonts w:eastAsia="Time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Default">
    <w:name w:val="Default"/>
    <w:qFormat/>
    <w:pPr>
      <w:autoSpaceDE w:val="0"/>
      <w:autoSpaceDN w:val="0"/>
      <w:adjustRightInd w:val="0"/>
      <w:spacing w:after="0" w:line="240" w:lineRule="auto"/>
      <w:jc w:val="both"/>
    </w:pPr>
    <w:rPr>
      <w:rFonts w:ascii="Arial" w:eastAsia="Times New Roman" w:hAnsi="Arial" w:cs="Arial"/>
      <w:color w:val="000000"/>
      <w:sz w:val="24"/>
      <w:szCs w:val="24"/>
      <w:lang w:val="en-GB"/>
    </w:rPr>
  </w:style>
  <w:style w:type="paragraph" w:styleId="NormalWeb">
    <w:name w:val="Normal (Web)"/>
    <w:basedOn w:val="Normal"/>
    <w:link w:val="NormalWebChar"/>
    <w:uiPriority w:val="99"/>
    <w:unhideWhenUsed/>
    <w:qFormat/>
    <w:pPr>
      <w:spacing w:before="100" w:beforeAutospacing="1" w:after="100" w:afterAutospacing="1"/>
    </w:pPr>
    <w:rPr>
      <w:rFonts w:eastAsia="Times New Roman"/>
      <w:sz w:val="24"/>
    </w:rPr>
  </w:style>
  <w:style w:type="character" w:styleId="FollowedHyperlink">
    <w:name w:val="FollowedHyperlink"/>
    <w:basedOn w:val="DefaultParagraphFont"/>
    <w:semiHidden/>
    <w:unhideWhenUsed/>
    <w:rsid w:val="002D5CB9"/>
    <w:rPr>
      <w:color w:val="954F72" w:themeColor="followedHyperlink"/>
      <w:u w:val="none"/>
    </w:rPr>
  </w:style>
  <w:style w:type="paragraph" w:styleId="Revision">
    <w:name w:val="Revision"/>
    <w:hidden/>
    <w:uiPriority w:val="99"/>
    <w:semiHidden/>
    <w:qFormat/>
    <w:pPr>
      <w:spacing w:after="0" w:line="240" w:lineRule="auto"/>
      <w:jc w:val="both"/>
    </w:pPr>
    <w:rPr>
      <w:rFonts w:ascii="Times New Roman" w:eastAsia="Times New Roman" w:hAnsi="Times New Roman" w:cs="Times New Roman"/>
      <w:lang w:val="en-GB"/>
    </w:rPr>
  </w:style>
  <w:style w:type="paragraph" w:customStyle="1" w:styleId="names">
    <w:name w:val="names"/>
    <w:basedOn w:val="Normal"/>
    <w:pPr>
      <w:tabs>
        <w:tab w:val="left" w:pos="2268"/>
      </w:tabs>
      <w:spacing w:after="60"/>
    </w:pPr>
    <w:rPr>
      <w:szCs w:val="20"/>
      <w:lang w:eastAsia="nl-NL"/>
    </w:rPr>
  </w:style>
  <w:style w:type="paragraph" w:customStyle="1" w:styleId="ListParagraphdash">
    <w:name w:val="List Paragraph dash"/>
    <w:basedOn w:val="ListParagraph"/>
    <w:uiPriority w:val="99"/>
    <w:pPr>
      <w:numPr>
        <w:numId w:val="2"/>
      </w:numPr>
      <w:tabs>
        <w:tab w:val="num" w:pos="360"/>
      </w:tabs>
      <w:ind w:left="400" w:firstLine="0"/>
    </w:pPr>
    <w:rPr>
      <w:rFonts w:cs="Verdana"/>
      <w:szCs w:val="20"/>
    </w:rPr>
  </w:style>
  <w:style w:type="paragraph" w:styleId="Header">
    <w:name w:val="header"/>
    <w:basedOn w:val="Normal"/>
    <w:link w:val="HeaderChar"/>
    <w:rsid w:val="002D5CB9"/>
    <w:pPr>
      <w:tabs>
        <w:tab w:val="center" w:pos="4680"/>
        <w:tab w:val="right" w:pos="9360"/>
      </w:tabs>
    </w:pPr>
  </w:style>
  <w:style w:type="character" w:customStyle="1" w:styleId="HeaderChar">
    <w:name w:val="Header Char"/>
    <w:basedOn w:val="DefaultParagraphFont"/>
    <w:link w:val="Header"/>
    <w:rsid w:val="002D5CB9"/>
    <w:rPr>
      <w:rFonts w:ascii="Times New Roman" w:eastAsia="MS Mincho" w:hAnsi="Times New Roman" w:cs="Times New Roman"/>
      <w:szCs w:val="24"/>
      <w:lang w:val="en-GB"/>
    </w:rPr>
  </w:style>
  <w:style w:type="paragraph" w:styleId="Footer">
    <w:name w:val="footer"/>
    <w:basedOn w:val="Normal"/>
    <w:link w:val="FooterChar"/>
    <w:rsid w:val="002D5CB9"/>
    <w:pPr>
      <w:tabs>
        <w:tab w:val="center" w:pos="4680"/>
        <w:tab w:val="right" w:pos="9360"/>
      </w:tabs>
    </w:pPr>
  </w:style>
  <w:style w:type="character" w:customStyle="1" w:styleId="FooterChar">
    <w:name w:val="Footer Char"/>
    <w:basedOn w:val="DefaultParagraphFont"/>
    <w:link w:val="Footer"/>
    <w:rsid w:val="002D5CB9"/>
    <w:rPr>
      <w:rFonts w:ascii="Times New Roman" w:eastAsia="MS Mincho" w:hAnsi="Times New Roman" w:cs="Times New Roman"/>
      <w:szCs w:val="24"/>
      <w:lang w:val="en-GB"/>
    </w:rPr>
  </w:style>
  <w:style w:type="paragraph" w:styleId="FootnoteText">
    <w:name w:val="footnote text"/>
    <w:basedOn w:val="Normal"/>
    <w:link w:val="FootnoteTextChar"/>
    <w:semiHidden/>
    <w:rsid w:val="002D5CB9"/>
    <w:pPr>
      <w:spacing w:before="60"/>
    </w:pPr>
    <w:rPr>
      <w:sz w:val="20"/>
    </w:rPr>
  </w:style>
  <w:style w:type="character" w:customStyle="1" w:styleId="FootnoteTextChar">
    <w:name w:val="Footnote Text Char"/>
    <w:basedOn w:val="DefaultParagraphFont"/>
    <w:link w:val="FootnoteText"/>
    <w:semiHidden/>
    <w:rsid w:val="002D5CB9"/>
    <w:rPr>
      <w:rFonts w:ascii="Times New Roman" w:eastAsia="MS Mincho" w:hAnsi="Times New Roman" w:cs="Times New Roman"/>
      <w:sz w:val="20"/>
      <w:szCs w:val="24"/>
      <w:lang w:val="en-GB"/>
    </w:rPr>
  </w:style>
  <w:style w:type="character" w:styleId="FootnoteReference">
    <w:name w:val="footnote reference"/>
    <w:basedOn w:val="DefaultParagraphFont"/>
    <w:semiHidden/>
    <w:rsid w:val="002D5CB9"/>
    <w:rPr>
      <w:vertAlign w:val="superscript"/>
    </w:rPr>
  </w:style>
  <w:style w:type="paragraph" w:customStyle="1" w:styleId="Style">
    <w:name w:val="Style"/>
    <w:basedOn w:val="Footer"/>
    <w:autoRedefine/>
    <w:qFormat/>
    <w:rsid w:val="002D5CB9"/>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2D5CB9"/>
    <w:rPr>
      <w:rFonts w:ascii="Arial" w:hAnsi="Arial"/>
      <w:b/>
      <w:sz w:val="18"/>
    </w:rPr>
  </w:style>
  <w:style w:type="paragraph" w:customStyle="1" w:styleId="IPPContentsHead">
    <w:name w:val="IPP ContentsHead"/>
    <w:basedOn w:val="IPPSubhead"/>
    <w:next w:val="IPPNormal"/>
    <w:qFormat/>
    <w:rsid w:val="002D5CB9"/>
    <w:pPr>
      <w:spacing w:after="240"/>
    </w:pPr>
    <w:rPr>
      <w:sz w:val="24"/>
    </w:rPr>
  </w:style>
  <w:style w:type="paragraph" w:customStyle="1" w:styleId="IPPBullet2">
    <w:name w:val="IPP Bullet2"/>
    <w:basedOn w:val="IPPNormal"/>
    <w:next w:val="IPPBullet1"/>
    <w:qFormat/>
    <w:rsid w:val="002D5CB9"/>
    <w:pPr>
      <w:numPr>
        <w:numId w:val="13"/>
      </w:numPr>
      <w:tabs>
        <w:tab w:val="left" w:pos="1134"/>
      </w:tabs>
      <w:spacing w:after="60"/>
      <w:ind w:left="1134" w:hanging="567"/>
    </w:pPr>
  </w:style>
  <w:style w:type="paragraph" w:customStyle="1" w:styleId="IPPQuote">
    <w:name w:val="IPP Quote"/>
    <w:basedOn w:val="IPPNormal"/>
    <w:qFormat/>
    <w:rsid w:val="002D5CB9"/>
    <w:pPr>
      <w:ind w:left="851" w:right="851"/>
    </w:pPr>
    <w:rPr>
      <w:sz w:val="18"/>
    </w:rPr>
  </w:style>
  <w:style w:type="paragraph" w:customStyle="1" w:styleId="IPPIndentClose">
    <w:name w:val="IPP Indent Close"/>
    <w:basedOn w:val="IPPNormal"/>
    <w:qFormat/>
    <w:rsid w:val="002D5CB9"/>
    <w:pPr>
      <w:tabs>
        <w:tab w:val="left" w:pos="2835"/>
      </w:tabs>
      <w:spacing w:after="60"/>
      <w:ind w:left="567"/>
    </w:pPr>
  </w:style>
  <w:style w:type="paragraph" w:customStyle="1" w:styleId="IPPIndent">
    <w:name w:val="IPP Indent"/>
    <w:basedOn w:val="IPPIndentClose"/>
    <w:qFormat/>
    <w:rsid w:val="002D5CB9"/>
    <w:pPr>
      <w:spacing w:after="180"/>
    </w:pPr>
  </w:style>
  <w:style w:type="paragraph" w:customStyle="1" w:styleId="IPPFootnote">
    <w:name w:val="IPP Footnote"/>
    <w:basedOn w:val="IPPArialFootnote"/>
    <w:qFormat/>
    <w:rsid w:val="002D5CB9"/>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2D5CB9"/>
    <w:pPr>
      <w:keepNext/>
      <w:tabs>
        <w:tab w:val="left" w:pos="567"/>
      </w:tabs>
      <w:spacing w:before="120" w:after="120"/>
      <w:ind w:left="567" w:hanging="567"/>
    </w:pPr>
    <w:rPr>
      <w:b/>
      <w:i/>
    </w:rPr>
  </w:style>
  <w:style w:type="character" w:customStyle="1" w:styleId="IPPNormalbold">
    <w:name w:val="IPP Normal bold"/>
    <w:basedOn w:val="PlainTextChar"/>
    <w:rsid w:val="002D5CB9"/>
    <w:rPr>
      <w:rFonts w:ascii="Times New Roman" w:eastAsia="Times" w:hAnsi="Times New Roman" w:cs="Times New Roman"/>
      <w:b/>
      <w:sz w:val="22"/>
      <w:szCs w:val="21"/>
      <w:lang w:val="en-AU"/>
    </w:rPr>
  </w:style>
  <w:style w:type="paragraph" w:customStyle="1" w:styleId="IPPHeadSection">
    <w:name w:val="IPP HeadSection"/>
    <w:basedOn w:val="Normal"/>
    <w:next w:val="Normal"/>
    <w:qFormat/>
    <w:rsid w:val="002D5CB9"/>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2D5CB9"/>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2D5CB9"/>
    <w:pPr>
      <w:keepNext/>
      <w:ind w:left="567" w:hanging="567"/>
      <w:jc w:val="left"/>
    </w:pPr>
    <w:rPr>
      <w:b/>
      <w:bCs/>
      <w:iCs/>
      <w:szCs w:val="22"/>
    </w:rPr>
  </w:style>
  <w:style w:type="character" w:customStyle="1" w:styleId="IPPNormalunderlined">
    <w:name w:val="IPP Normal underlined"/>
    <w:basedOn w:val="DefaultParagraphFont"/>
    <w:rsid w:val="002D5CB9"/>
    <w:rPr>
      <w:rFonts w:ascii="Times New Roman" w:hAnsi="Times New Roman"/>
      <w:sz w:val="22"/>
      <w:u w:val="single"/>
      <w:lang w:val="en-US"/>
    </w:rPr>
  </w:style>
  <w:style w:type="paragraph" w:customStyle="1" w:styleId="IPPBullet1Last">
    <w:name w:val="IPP Bullet1Last"/>
    <w:basedOn w:val="IPPNormal"/>
    <w:next w:val="IPPNormal"/>
    <w:qFormat/>
    <w:rsid w:val="002D5CB9"/>
    <w:pPr>
      <w:numPr>
        <w:numId w:val="8"/>
      </w:numPr>
    </w:pPr>
  </w:style>
  <w:style w:type="character" w:customStyle="1" w:styleId="IPPNormalstrikethrough">
    <w:name w:val="IPP Normal strikethrough"/>
    <w:rsid w:val="002D5CB9"/>
    <w:rPr>
      <w:rFonts w:ascii="Times New Roman" w:hAnsi="Times New Roman"/>
      <w:strike/>
      <w:dstrike w:val="0"/>
      <w:sz w:val="22"/>
    </w:rPr>
  </w:style>
  <w:style w:type="paragraph" w:customStyle="1" w:styleId="IPPTitle16pt">
    <w:name w:val="IPP Title16pt"/>
    <w:basedOn w:val="Normal"/>
    <w:qFormat/>
    <w:rsid w:val="002D5CB9"/>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2D5CB9"/>
    <w:pPr>
      <w:spacing w:after="360"/>
      <w:jc w:val="center"/>
    </w:pPr>
    <w:rPr>
      <w:rFonts w:ascii="Arial" w:hAnsi="Arial" w:cs="Arial"/>
      <w:b/>
      <w:bCs/>
      <w:sz w:val="36"/>
      <w:szCs w:val="36"/>
    </w:rPr>
  </w:style>
  <w:style w:type="paragraph" w:customStyle="1" w:styleId="IPPHeader">
    <w:name w:val="IPP Header"/>
    <w:basedOn w:val="Normal"/>
    <w:qFormat/>
    <w:rsid w:val="002D5CB9"/>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2D5CB9"/>
    <w:pPr>
      <w:keepNext/>
      <w:tabs>
        <w:tab w:val="left" w:pos="567"/>
      </w:tabs>
      <w:spacing w:before="120"/>
      <w:jc w:val="left"/>
      <w:outlineLvl w:val="1"/>
    </w:pPr>
    <w:rPr>
      <w:b/>
      <w:sz w:val="24"/>
    </w:rPr>
  </w:style>
  <w:style w:type="numbering" w:customStyle="1" w:styleId="IPPParagraphnumberedlist">
    <w:name w:val="IPP Paragraph numbered list"/>
    <w:rsid w:val="002D5CB9"/>
    <w:pPr>
      <w:numPr>
        <w:numId w:val="7"/>
      </w:numPr>
    </w:pPr>
  </w:style>
  <w:style w:type="paragraph" w:customStyle="1" w:styleId="IPPHeading2">
    <w:name w:val="IPP Heading2"/>
    <w:basedOn w:val="IPPNormal"/>
    <w:next w:val="IPPNormal"/>
    <w:qFormat/>
    <w:rsid w:val="002D5CB9"/>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2D5CB9"/>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2D5CB9"/>
    <w:pPr>
      <w:tabs>
        <w:tab w:val="right" w:leader="dot" w:pos="9072"/>
      </w:tabs>
      <w:spacing w:before="240"/>
      <w:ind w:left="567" w:hanging="567"/>
    </w:pPr>
  </w:style>
  <w:style w:type="paragraph" w:styleId="TOC2">
    <w:name w:val="toc 2"/>
    <w:basedOn w:val="TOC1"/>
    <w:next w:val="Normal"/>
    <w:autoRedefine/>
    <w:uiPriority w:val="39"/>
    <w:rsid w:val="002D5CB9"/>
    <w:pPr>
      <w:keepNext w:val="0"/>
      <w:tabs>
        <w:tab w:val="left" w:pos="425"/>
      </w:tabs>
      <w:spacing w:before="120" w:after="0"/>
      <w:ind w:left="425" w:right="284" w:hanging="425"/>
    </w:pPr>
  </w:style>
  <w:style w:type="paragraph" w:styleId="TOC3">
    <w:name w:val="toc 3"/>
    <w:basedOn w:val="TOC2"/>
    <w:next w:val="Normal"/>
    <w:autoRedefine/>
    <w:uiPriority w:val="39"/>
    <w:rsid w:val="002D5CB9"/>
    <w:pPr>
      <w:tabs>
        <w:tab w:val="left" w:pos="1276"/>
      </w:tabs>
      <w:spacing w:before="60"/>
      <w:ind w:left="1276" w:hanging="851"/>
    </w:pPr>
    <w:rPr>
      <w:rFonts w:eastAsia="Times"/>
    </w:rPr>
  </w:style>
  <w:style w:type="paragraph" w:styleId="TOC4">
    <w:name w:val="toc 4"/>
    <w:basedOn w:val="Normal"/>
    <w:next w:val="Normal"/>
    <w:autoRedefine/>
    <w:uiPriority w:val="39"/>
    <w:rsid w:val="002D5CB9"/>
    <w:pPr>
      <w:spacing w:after="120"/>
      <w:ind w:left="660"/>
    </w:pPr>
    <w:rPr>
      <w:rFonts w:eastAsia="Times"/>
      <w:lang w:val="en-AU"/>
    </w:rPr>
  </w:style>
  <w:style w:type="paragraph" w:styleId="TOC5">
    <w:name w:val="toc 5"/>
    <w:basedOn w:val="Normal"/>
    <w:next w:val="Normal"/>
    <w:autoRedefine/>
    <w:uiPriority w:val="39"/>
    <w:rsid w:val="002D5CB9"/>
    <w:pPr>
      <w:spacing w:after="120"/>
      <w:ind w:left="880"/>
    </w:pPr>
    <w:rPr>
      <w:rFonts w:eastAsia="Times"/>
      <w:lang w:val="en-AU"/>
    </w:rPr>
  </w:style>
  <w:style w:type="paragraph" w:styleId="TOC6">
    <w:name w:val="toc 6"/>
    <w:basedOn w:val="Normal"/>
    <w:next w:val="Normal"/>
    <w:autoRedefine/>
    <w:uiPriority w:val="39"/>
    <w:rsid w:val="002D5CB9"/>
    <w:pPr>
      <w:spacing w:after="120"/>
      <w:ind w:left="1100"/>
    </w:pPr>
    <w:rPr>
      <w:rFonts w:eastAsia="Times"/>
      <w:lang w:val="en-AU"/>
    </w:rPr>
  </w:style>
  <w:style w:type="paragraph" w:styleId="TOC7">
    <w:name w:val="toc 7"/>
    <w:basedOn w:val="Normal"/>
    <w:next w:val="Normal"/>
    <w:autoRedefine/>
    <w:uiPriority w:val="39"/>
    <w:rsid w:val="002D5CB9"/>
    <w:pPr>
      <w:spacing w:after="120"/>
      <w:ind w:left="1320"/>
    </w:pPr>
    <w:rPr>
      <w:rFonts w:eastAsia="Times"/>
      <w:lang w:val="en-AU"/>
    </w:rPr>
  </w:style>
  <w:style w:type="paragraph" w:styleId="TOC8">
    <w:name w:val="toc 8"/>
    <w:basedOn w:val="Normal"/>
    <w:next w:val="Normal"/>
    <w:autoRedefine/>
    <w:uiPriority w:val="39"/>
    <w:rsid w:val="002D5CB9"/>
    <w:pPr>
      <w:spacing w:after="120"/>
      <w:ind w:left="1540"/>
    </w:pPr>
    <w:rPr>
      <w:rFonts w:eastAsia="Times"/>
      <w:lang w:val="en-AU"/>
    </w:rPr>
  </w:style>
  <w:style w:type="paragraph" w:styleId="TOC9">
    <w:name w:val="toc 9"/>
    <w:basedOn w:val="Normal"/>
    <w:next w:val="Normal"/>
    <w:autoRedefine/>
    <w:uiPriority w:val="39"/>
    <w:rsid w:val="002D5CB9"/>
    <w:pPr>
      <w:spacing w:after="120"/>
      <w:ind w:left="1760"/>
    </w:pPr>
    <w:rPr>
      <w:rFonts w:eastAsia="Times"/>
      <w:lang w:val="en-AU"/>
    </w:rPr>
  </w:style>
  <w:style w:type="paragraph" w:customStyle="1" w:styleId="IPPReferences">
    <w:name w:val="IPP References"/>
    <w:basedOn w:val="IPPNormal"/>
    <w:qFormat/>
    <w:rsid w:val="002D5CB9"/>
    <w:pPr>
      <w:spacing w:after="60"/>
      <w:ind w:left="567" w:hanging="567"/>
    </w:pPr>
  </w:style>
  <w:style w:type="paragraph" w:customStyle="1" w:styleId="IPPArial">
    <w:name w:val="IPP Arial"/>
    <w:basedOn w:val="IPPNormal"/>
    <w:qFormat/>
    <w:rsid w:val="002D5CB9"/>
    <w:pPr>
      <w:spacing w:after="0"/>
    </w:pPr>
    <w:rPr>
      <w:rFonts w:ascii="Arial" w:hAnsi="Arial"/>
      <w:sz w:val="18"/>
    </w:rPr>
  </w:style>
  <w:style w:type="paragraph" w:customStyle="1" w:styleId="IPPHeaderlandscape">
    <w:name w:val="IPP Header landscape"/>
    <w:basedOn w:val="IPPHeader"/>
    <w:qFormat/>
    <w:rsid w:val="002D5CB9"/>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2D5CB9"/>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2D5CB9"/>
    <w:rPr>
      <w:rFonts w:ascii="Courier" w:eastAsia="Times" w:hAnsi="Courier" w:cs="Times New Roman"/>
      <w:sz w:val="21"/>
      <w:szCs w:val="21"/>
      <w:lang w:val="en-AU"/>
    </w:rPr>
  </w:style>
  <w:style w:type="paragraph" w:customStyle="1" w:styleId="IPPLetterList">
    <w:name w:val="IPP LetterList"/>
    <w:basedOn w:val="IPPBullet2"/>
    <w:qFormat/>
    <w:rsid w:val="002D5CB9"/>
    <w:pPr>
      <w:numPr>
        <w:numId w:val="11"/>
      </w:numPr>
      <w:jc w:val="left"/>
    </w:pPr>
  </w:style>
  <w:style w:type="paragraph" w:customStyle="1" w:styleId="IPPLetterListIndent">
    <w:name w:val="IPP LetterList Indent"/>
    <w:basedOn w:val="IPPLetterList"/>
    <w:qFormat/>
    <w:rsid w:val="002D5CB9"/>
    <w:pPr>
      <w:numPr>
        <w:numId w:val="12"/>
      </w:numPr>
    </w:pPr>
  </w:style>
  <w:style w:type="paragraph" w:customStyle="1" w:styleId="IPPFooterLandscape">
    <w:name w:val="IPP Footer Landscape"/>
    <w:basedOn w:val="IPPHeaderlandscape"/>
    <w:qFormat/>
    <w:rsid w:val="002D5CB9"/>
    <w:pPr>
      <w:pBdr>
        <w:top w:val="single" w:sz="4" w:space="1" w:color="auto"/>
        <w:bottom w:val="none" w:sz="0" w:space="0" w:color="auto"/>
      </w:pBdr>
      <w:jc w:val="right"/>
    </w:pPr>
    <w:rPr>
      <w:b/>
    </w:rPr>
  </w:style>
  <w:style w:type="paragraph" w:customStyle="1" w:styleId="IPPSubheadSpace">
    <w:name w:val="IPP Subhead Space"/>
    <w:basedOn w:val="IPPSubhead"/>
    <w:qFormat/>
    <w:rsid w:val="002D5CB9"/>
    <w:pPr>
      <w:tabs>
        <w:tab w:val="left" w:pos="567"/>
      </w:tabs>
      <w:spacing w:before="60" w:after="60"/>
    </w:pPr>
  </w:style>
  <w:style w:type="paragraph" w:customStyle="1" w:styleId="IPPSubheadSpaceAfter">
    <w:name w:val="IPP Subhead SpaceAfter"/>
    <w:basedOn w:val="IPPSubhead"/>
    <w:qFormat/>
    <w:rsid w:val="002D5CB9"/>
    <w:pPr>
      <w:spacing w:after="60"/>
    </w:pPr>
  </w:style>
  <w:style w:type="paragraph" w:customStyle="1" w:styleId="IPPHdg1Num">
    <w:name w:val="IPP Hdg1Num"/>
    <w:basedOn w:val="IPPHeading1"/>
    <w:next w:val="IPPNormal"/>
    <w:qFormat/>
    <w:rsid w:val="002D5CB9"/>
    <w:pPr>
      <w:numPr>
        <w:numId w:val="14"/>
      </w:numPr>
    </w:pPr>
  </w:style>
  <w:style w:type="paragraph" w:customStyle="1" w:styleId="IPPHdg2Num">
    <w:name w:val="IPP Hdg2Num"/>
    <w:basedOn w:val="IPPHeading2"/>
    <w:next w:val="IPPNormal"/>
    <w:qFormat/>
    <w:rsid w:val="002D5CB9"/>
    <w:pPr>
      <w:numPr>
        <w:ilvl w:val="1"/>
        <w:numId w:val="15"/>
      </w:numPr>
    </w:pPr>
  </w:style>
  <w:style w:type="paragraph" w:customStyle="1" w:styleId="IPPNumberedList">
    <w:name w:val="IPP NumberedList"/>
    <w:basedOn w:val="IPPBullet1"/>
    <w:qFormat/>
    <w:rsid w:val="002D5CB9"/>
    <w:pPr>
      <w:numPr>
        <w:numId w:val="23"/>
      </w:numPr>
    </w:pPr>
  </w:style>
  <w:style w:type="character" w:styleId="Strong">
    <w:name w:val="Strong"/>
    <w:basedOn w:val="DefaultParagraphFont"/>
    <w:qFormat/>
    <w:rsid w:val="002D5CB9"/>
    <w:rPr>
      <w:b/>
      <w:bCs/>
    </w:rPr>
  </w:style>
  <w:style w:type="paragraph" w:customStyle="1" w:styleId="IPPParagraphnumberingclose">
    <w:name w:val="IPP Paragraph numbering close"/>
    <w:basedOn w:val="IPPParagraphnumbering"/>
    <w:qFormat/>
    <w:rsid w:val="002D5CB9"/>
    <w:pPr>
      <w:keepNext/>
      <w:spacing w:after="60"/>
    </w:pPr>
  </w:style>
  <w:style w:type="paragraph" w:customStyle="1" w:styleId="IPPNumberedListLast">
    <w:name w:val="IPP NumberedListLast"/>
    <w:basedOn w:val="IPPNumberedList"/>
    <w:qFormat/>
    <w:rsid w:val="002D5CB9"/>
    <w:pPr>
      <w:spacing w:after="180"/>
    </w:p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Pr>
      <w:rFonts w:ascii="Georgia" w:eastAsia="Georgia" w:hAnsi="Georgia" w:cs="Georgia"/>
      <w:i/>
      <w:color w:val="666666"/>
      <w:sz w:val="48"/>
      <w:szCs w:val="48"/>
      <w:lang w:val="en-GB"/>
    </w:rPr>
  </w:style>
  <w:style w:type="character" w:customStyle="1" w:styleId="LinkdaInternet">
    <w:name w:val="Link da Internet"/>
    <w:basedOn w:val="DefaultParagraphFont"/>
    <w:uiPriority w:val="99"/>
    <w:unhideWhenUsed/>
    <w:rPr>
      <w:color w:val="0563C1"/>
      <w:u w:val="single"/>
    </w:rPr>
  </w:style>
  <w:style w:type="character" w:customStyle="1" w:styleId="Linkdainternetvisitado">
    <w:name w:val="Link da internet visitado"/>
    <w:basedOn w:val="DefaultParagraphFont"/>
    <w:uiPriority w:val="99"/>
    <w:semiHidden/>
    <w:unhideWhenUsed/>
    <w:rPr>
      <w:color w:val="954F72" w:themeColor="followedHyperlink"/>
      <w:u w:val="single"/>
    </w:rPr>
  </w:style>
  <w:style w:type="character" w:customStyle="1" w:styleId="HTMLPreformattedChar">
    <w:name w:val="HTML Preformatted Char"/>
    <w:basedOn w:val="DefaultParagraphFont"/>
    <w:link w:val="HTMLPreformatted"/>
    <w:uiPriority w:val="99"/>
    <w:qFormat/>
    <w:rPr>
      <w:rFonts w:ascii="Courier New" w:hAnsi="Courier New" w:cs="Courier New"/>
      <w:sz w:val="20"/>
      <w:szCs w:val="20"/>
      <w:lang w:eastAsia="en-NZ"/>
    </w:rPr>
  </w:style>
  <w:style w:type="character" w:customStyle="1" w:styleId="nfase1">
    <w:name w:val="Ênfase1"/>
    <w:basedOn w:val="DefaultParagraphFont"/>
    <w:uiPriority w:val="20"/>
    <w:qFormat/>
    <w:rPr>
      <w:i/>
      <w:iCs/>
    </w:rPr>
  </w:style>
  <w:style w:type="character" w:customStyle="1" w:styleId="SC1606">
    <w:name w:val="SC1606"/>
    <w:uiPriority w:val="99"/>
    <w:qFormat/>
    <w:rPr>
      <w:color w:val="000000"/>
      <w:sz w:val="20"/>
      <w:szCs w:val="20"/>
    </w:rPr>
  </w:style>
  <w:style w:type="character" w:customStyle="1" w:styleId="fn">
    <w:name w:val="fn"/>
    <w:basedOn w:val="DefaultParagraphFont"/>
    <w:qFormat/>
  </w:style>
  <w:style w:type="character" w:customStyle="1" w:styleId="SC1634">
    <w:name w:val="SC1634"/>
    <w:uiPriority w:val="99"/>
    <w:qFormat/>
    <w:rPr>
      <w:color w:val="000000"/>
      <w:sz w:val="18"/>
      <w:szCs w:val="18"/>
    </w:rPr>
  </w:style>
  <w:style w:type="character" w:customStyle="1" w:styleId="En-tteCar">
    <w:name w:val="En-tête Car"/>
    <w:basedOn w:val="DefaultParagraphFont"/>
    <w:qFormat/>
    <w:rPr>
      <w:rFonts w:ascii="Times New Roman" w:eastAsia="MS Mincho" w:hAnsi="Times New Roman" w:cs="Times New Roman"/>
      <w:szCs w:val="24"/>
      <w:lang w:val="en-GB"/>
    </w:rPr>
  </w:style>
  <w:style w:type="character" w:customStyle="1" w:styleId="ncoradanotaderodap">
    <w:name w:val="Âncora da nota de rodapé"/>
    <w:rPr>
      <w:vertAlign w:val="superscript"/>
    </w:rPr>
  </w:style>
  <w:style w:type="character" w:customStyle="1" w:styleId="FootnoteCharacters">
    <w:name w:val="Footnote Characters"/>
    <w:basedOn w:val="DefaultParagraphFont"/>
    <w:semiHidden/>
    <w:qFormat/>
    <w:rPr>
      <w:vertAlign w:val="superscript"/>
    </w:rPr>
  </w:style>
  <w:style w:type="character" w:customStyle="1" w:styleId="Numeraodelinhas">
    <w:name w:val="Numeração de linhas"/>
  </w:style>
  <w:style w:type="paragraph" w:customStyle="1" w:styleId="Ttulo1">
    <w:name w:val="Título1"/>
    <w:basedOn w:val="Normal"/>
    <w:next w:val="BodyText"/>
    <w:qFormat/>
    <w:pPr>
      <w:keepNext/>
      <w:spacing w:before="240" w:after="120"/>
    </w:pPr>
    <w:rPr>
      <w:rFonts w:ascii="Liberation Sans" w:eastAsia="Microsoft YaHei" w:hAnsi="Liberation Sans" w:cs="Lucida Sans"/>
      <w:sz w:val="28"/>
      <w:szCs w:val="28"/>
    </w:rPr>
  </w:style>
  <w:style w:type="paragraph" w:styleId="List">
    <w:name w:val="List"/>
    <w:basedOn w:val="BodyText"/>
    <w:pPr>
      <w:widowControl/>
      <w:autoSpaceDE/>
      <w:autoSpaceDN/>
      <w:spacing w:after="140" w:line="276" w:lineRule="auto"/>
    </w:pPr>
    <w:rPr>
      <w:rFonts w:eastAsia="MS Mincho" w:cs="Lucida Sans"/>
    </w:rPr>
  </w:style>
  <w:style w:type="paragraph" w:styleId="Caption">
    <w:name w:val="caption"/>
    <w:basedOn w:val="Normal"/>
    <w:qFormat/>
    <w:pPr>
      <w:suppressLineNumbers/>
      <w:spacing w:before="120" w:after="120"/>
    </w:pPr>
    <w:rPr>
      <w:rFonts w:cs="Lucida Sans"/>
      <w:i/>
      <w:iCs/>
      <w:sz w:val="24"/>
    </w:rPr>
  </w:style>
  <w:style w:type="paragraph" w:customStyle="1" w:styleId="ndice">
    <w:name w:val="Índice"/>
    <w:basedOn w:val="Normal"/>
    <w:qFormat/>
    <w:pPr>
      <w:suppressLineNumbers/>
    </w:pPr>
    <w:rPr>
      <w:rFonts w:cs="Lucida Sans"/>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NZ"/>
    </w:rPr>
  </w:style>
  <w:style w:type="character" w:customStyle="1" w:styleId="HTMLPreformattedChar1">
    <w:name w:val="HTML Preformatted Char1"/>
    <w:basedOn w:val="DefaultParagraphFont"/>
    <w:uiPriority w:val="99"/>
    <w:semiHidden/>
    <w:rPr>
      <w:rFonts w:ascii="Consolas" w:hAnsi="Consolas"/>
      <w:sz w:val="20"/>
      <w:szCs w:val="20"/>
    </w:rPr>
  </w:style>
  <w:style w:type="paragraph" w:customStyle="1" w:styleId="text">
    <w:name w:val="text"/>
    <w:basedOn w:val="Normal"/>
    <w:qFormat/>
    <w:pPr>
      <w:spacing w:before="240" w:line="360" w:lineRule="atLeast"/>
      <w:ind w:firstLine="284"/>
    </w:pPr>
    <w:rPr>
      <w:rFonts w:ascii="Palatino" w:eastAsia="Times New Roman" w:hAnsi="Palatino"/>
      <w:sz w:val="24"/>
      <w:szCs w:val="20"/>
    </w:rPr>
  </w:style>
  <w:style w:type="paragraph" w:customStyle="1" w:styleId="CabealhoeRodap">
    <w:name w:val="Cabeçalho e Rodapé"/>
    <w:basedOn w:val="Normal"/>
    <w:qFormat/>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mmentTextChar1">
    <w:name w:val="Comment Text Char1"/>
    <w:uiPriority w:val="99"/>
    <w:rPr>
      <w:lang w:val="es-ES" w:eastAsia="en-US"/>
    </w:rPr>
  </w:style>
  <w:style w:type="character" w:customStyle="1" w:styleId="ms-rtecustom-featuresbyline1">
    <w:name w:val="ms-rtecustom-featuresbyline1"/>
    <w:rPr>
      <w:b w:val="0"/>
      <w:bCs w:val="0"/>
      <w:sz w:val="17"/>
      <w:szCs w:val="17"/>
    </w:rPr>
  </w:style>
  <w:style w:type="character" w:customStyle="1" w:styleId="Signature1">
    <w:name w:val="Signature1"/>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fontstyle01">
    <w:name w:val="fontstyle01"/>
    <w:basedOn w:val="DefaultParagraphFont"/>
    <w:rPr>
      <w:rFonts w:ascii="TimesNewRomanPSMT" w:hAnsi="TimesNewRomanPSMT" w:cs="TimesNewRomanPSMT" w:hint="default"/>
      <w:b w:val="0"/>
      <w:bCs w:val="0"/>
      <w:i w:val="0"/>
      <w:iCs w:val="0"/>
      <w:color w:val="000000"/>
      <w:sz w:val="22"/>
      <w:szCs w:val="22"/>
    </w:rPr>
  </w:style>
  <w:style w:type="character" w:customStyle="1" w:styleId="fontstyle21">
    <w:name w:val="fontstyle21"/>
    <w:basedOn w:val="DefaultParagraphFont"/>
    <w:rPr>
      <w:rFonts w:ascii="Times-Roman" w:hAnsi="Times-Roman" w:hint="default"/>
      <w:b w:val="0"/>
      <w:bCs w:val="0"/>
      <w:i w:val="0"/>
      <w:iCs w:val="0"/>
      <w:color w:val="000000"/>
      <w:sz w:val="22"/>
      <w:szCs w:val="22"/>
    </w:rPr>
  </w:style>
  <w:style w:type="character" w:customStyle="1" w:styleId="UnresolvedMention4">
    <w:name w:val="Unresolved Mention4"/>
    <w:basedOn w:val="DefaultParagraphFont"/>
    <w:uiPriority w:val="99"/>
    <w:semiHidden/>
    <w:unhideWhenUsed/>
    <w:rPr>
      <w:color w:val="605E5C"/>
      <w:shd w:val="clear" w:color="auto" w:fill="E1DFDD"/>
    </w:rPr>
  </w:style>
  <w:style w:type="paragraph" w:customStyle="1" w:styleId="TableParagraph">
    <w:name w:val="Table Paragraph"/>
    <w:basedOn w:val="Normal"/>
    <w:uiPriority w:val="1"/>
    <w:qFormat/>
    <w:pPr>
      <w:widowControl w:val="0"/>
      <w:autoSpaceDE w:val="0"/>
      <w:autoSpaceDN w:val="0"/>
      <w:spacing w:before="59"/>
      <w:ind w:left="98"/>
    </w:pPr>
    <w:rPr>
      <w:rFonts w:ascii="Arial" w:eastAsia="Arial" w:hAnsi="Arial" w:cs="Arial"/>
    </w:rPr>
  </w:style>
  <w:style w:type="character" w:customStyle="1" w:styleId="UnresolvedMention5">
    <w:name w:val="Unresolved Mention5"/>
    <w:basedOn w:val="DefaultParagraphFont"/>
    <w:uiPriority w:val="99"/>
    <w:semiHidden/>
    <w:unhideWhenUsed/>
    <w:rsid w:val="00141B06"/>
    <w:rPr>
      <w:color w:val="605E5C"/>
      <w:shd w:val="clear" w:color="auto" w:fill="E1DFDD"/>
    </w:rPr>
  </w:style>
  <w:style w:type="character" w:customStyle="1" w:styleId="normaltextrun">
    <w:name w:val="normaltextrun"/>
    <w:basedOn w:val="DefaultParagraphFont"/>
    <w:rsid w:val="000F1866"/>
  </w:style>
  <w:style w:type="paragraph" w:customStyle="1" w:styleId="paragraph">
    <w:name w:val="paragraph"/>
    <w:basedOn w:val="Normal"/>
    <w:rsid w:val="000F1866"/>
    <w:pPr>
      <w:spacing w:before="100" w:beforeAutospacing="1" w:after="100" w:afterAutospacing="1"/>
    </w:pPr>
    <w:rPr>
      <w:rFonts w:eastAsia="Times New Roman"/>
      <w:sz w:val="24"/>
    </w:rPr>
  </w:style>
  <w:style w:type="character" w:customStyle="1" w:styleId="eop">
    <w:name w:val="eop"/>
    <w:basedOn w:val="DefaultParagraphFont"/>
    <w:rsid w:val="000F1866"/>
  </w:style>
  <w:style w:type="paragraph" w:customStyle="1" w:styleId="PleaseReviewReport">
    <w:name w:val="PleaseReview_Report"/>
    <w:rsid w:val="00B33E1D"/>
    <w:pPr>
      <w:spacing w:before="5" w:after="5"/>
    </w:pPr>
    <w:rPr>
      <w:rFonts w:ascii="Verdana" w:hAnsi="Verdana" w:cs="Verdana"/>
      <w:noProof/>
      <w:sz w:val="16"/>
      <w:szCs w:val="16"/>
    </w:rPr>
  </w:style>
  <w:style w:type="character" w:customStyle="1" w:styleId="NormalWebChar">
    <w:name w:val="Normal (Web) Char"/>
    <w:link w:val="NormalWeb"/>
    <w:uiPriority w:val="99"/>
    <w:rsid w:val="00EC10E2"/>
    <w:rPr>
      <w:rFonts w:ascii="Times New Roman" w:eastAsia="Times New Roman" w:hAnsi="Times New Roman" w:cs="Times New Roman"/>
      <w:sz w:val="24"/>
      <w:szCs w:val="24"/>
      <w:lang w:val="en-GB"/>
    </w:rPr>
  </w:style>
  <w:style w:type="character" w:customStyle="1" w:styleId="UnresolvedMention">
    <w:name w:val="Unresolved Mention"/>
    <w:basedOn w:val="DefaultParagraphFont"/>
    <w:uiPriority w:val="99"/>
    <w:semiHidden/>
    <w:unhideWhenUsed/>
    <w:rsid w:val="00D55FBA"/>
    <w:rPr>
      <w:color w:val="605E5C"/>
      <w:shd w:val="clear" w:color="auto" w:fill="E1DFDD"/>
    </w:rPr>
  </w:style>
  <w:style w:type="paragraph" w:customStyle="1" w:styleId="dx-doi">
    <w:name w:val="dx-doi"/>
    <w:basedOn w:val="Normal"/>
    <w:rsid w:val="00693630"/>
    <w:pPr>
      <w:spacing w:before="100" w:beforeAutospacing="1" w:after="100" w:afterAutospacing="1"/>
      <w:jc w:val="left"/>
    </w:pPr>
    <w:rPr>
      <w:rFonts w:eastAsia="Times New Roman"/>
      <w:sz w:val="24"/>
      <w:lang w:eastAsia="en-GB"/>
    </w:rPr>
  </w:style>
  <w:style w:type="character" w:customStyle="1" w:styleId="anchor-text">
    <w:name w:val="anchor-text"/>
    <w:basedOn w:val="DefaultParagraphFont"/>
    <w:rsid w:val="00F40CC1"/>
  </w:style>
  <w:style w:type="character" w:customStyle="1" w:styleId="cf01">
    <w:name w:val="cf01"/>
    <w:basedOn w:val="DefaultParagraphFont"/>
    <w:rsid w:val="00F91F5A"/>
    <w:rPr>
      <w:rFonts w:ascii="Segoe UI" w:hAnsi="Segoe UI" w:cs="Segoe UI"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106403">
      <w:bodyDiv w:val="1"/>
      <w:marLeft w:val="0"/>
      <w:marRight w:val="0"/>
      <w:marTop w:val="0"/>
      <w:marBottom w:val="0"/>
      <w:divBdr>
        <w:top w:val="none" w:sz="0" w:space="0" w:color="auto"/>
        <w:left w:val="none" w:sz="0" w:space="0" w:color="auto"/>
        <w:bottom w:val="none" w:sz="0" w:space="0" w:color="auto"/>
        <w:right w:val="none" w:sz="0" w:space="0" w:color="auto"/>
      </w:divBdr>
      <w:divsChild>
        <w:div w:id="417943891">
          <w:marLeft w:val="0"/>
          <w:marRight w:val="0"/>
          <w:marTop w:val="0"/>
          <w:marBottom w:val="0"/>
          <w:divBdr>
            <w:top w:val="none" w:sz="0" w:space="0" w:color="auto"/>
            <w:left w:val="none" w:sz="0" w:space="0" w:color="auto"/>
            <w:bottom w:val="none" w:sz="0" w:space="0" w:color="auto"/>
            <w:right w:val="none" w:sz="0" w:space="0" w:color="auto"/>
          </w:divBdr>
        </w:div>
      </w:divsChild>
    </w:div>
    <w:div w:id="79301329">
      <w:bodyDiv w:val="1"/>
      <w:marLeft w:val="0"/>
      <w:marRight w:val="0"/>
      <w:marTop w:val="0"/>
      <w:marBottom w:val="0"/>
      <w:divBdr>
        <w:top w:val="none" w:sz="0" w:space="0" w:color="auto"/>
        <w:left w:val="none" w:sz="0" w:space="0" w:color="auto"/>
        <w:bottom w:val="none" w:sz="0" w:space="0" w:color="auto"/>
        <w:right w:val="none" w:sz="0" w:space="0" w:color="auto"/>
      </w:divBdr>
    </w:div>
    <w:div w:id="338699019">
      <w:bodyDiv w:val="1"/>
      <w:marLeft w:val="0"/>
      <w:marRight w:val="0"/>
      <w:marTop w:val="0"/>
      <w:marBottom w:val="0"/>
      <w:divBdr>
        <w:top w:val="none" w:sz="0" w:space="0" w:color="auto"/>
        <w:left w:val="none" w:sz="0" w:space="0" w:color="auto"/>
        <w:bottom w:val="none" w:sz="0" w:space="0" w:color="auto"/>
        <w:right w:val="none" w:sz="0" w:space="0" w:color="auto"/>
      </w:divBdr>
    </w:div>
    <w:div w:id="861431401">
      <w:bodyDiv w:val="1"/>
      <w:marLeft w:val="0"/>
      <w:marRight w:val="0"/>
      <w:marTop w:val="0"/>
      <w:marBottom w:val="0"/>
      <w:divBdr>
        <w:top w:val="none" w:sz="0" w:space="0" w:color="auto"/>
        <w:left w:val="none" w:sz="0" w:space="0" w:color="auto"/>
        <w:bottom w:val="none" w:sz="0" w:space="0" w:color="auto"/>
        <w:right w:val="none" w:sz="0" w:space="0" w:color="auto"/>
      </w:divBdr>
    </w:div>
    <w:div w:id="923223905">
      <w:bodyDiv w:val="1"/>
      <w:marLeft w:val="0"/>
      <w:marRight w:val="0"/>
      <w:marTop w:val="0"/>
      <w:marBottom w:val="0"/>
      <w:divBdr>
        <w:top w:val="none" w:sz="0" w:space="0" w:color="auto"/>
        <w:left w:val="none" w:sz="0" w:space="0" w:color="auto"/>
        <w:bottom w:val="none" w:sz="0" w:space="0" w:color="auto"/>
        <w:right w:val="none" w:sz="0" w:space="0" w:color="auto"/>
      </w:divBdr>
    </w:div>
    <w:div w:id="1249388256">
      <w:bodyDiv w:val="1"/>
      <w:marLeft w:val="0"/>
      <w:marRight w:val="0"/>
      <w:marTop w:val="0"/>
      <w:marBottom w:val="0"/>
      <w:divBdr>
        <w:top w:val="none" w:sz="0" w:space="0" w:color="auto"/>
        <w:left w:val="none" w:sz="0" w:space="0" w:color="auto"/>
        <w:bottom w:val="none" w:sz="0" w:space="0" w:color="auto"/>
        <w:right w:val="none" w:sz="0" w:space="0" w:color="auto"/>
      </w:divBdr>
      <w:divsChild>
        <w:div w:id="278294116">
          <w:marLeft w:val="0"/>
          <w:marRight w:val="0"/>
          <w:marTop w:val="0"/>
          <w:marBottom w:val="0"/>
          <w:divBdr>
            <w:top w:val="none" w:sz="0" w:space="0" w:color="auto"/>
            <w:left w:val="none" w:sz="0" w:space="0" w:color="auto"/>
            <w:bottom w:val="none" w:sz="0" w:space="0" w:color="auto"/>
            <w:right w:val="none" w:sz="0" w:space="0" w:color="auto"/>
          </w:divBdr>
        </w:div>
        <w:div w:id="551843920">
          <w:marLeft w:val="0"/>
          <w:marRight w:val="0"/>
          <w:marTop w:val="0"/>
          <w:marBottom w:val="0"/>
          <w:divBdr>
            <w:top w:val="none" w:sz="0" w:space="0" w:color="auto"/>
            <w:left w:val="none" w:sz="0" w:space="0" w:color="auto"/>
            <w:bottom w:val="none" w:sz="0" w:space="0" w:color="auto"/>
            <w:right w:val="none" w:sz="0" w:space="0" w:color="auto"/>
          </w:divBdr>
        </w:div>
      </w:divsChild>
    </w:div>
    <w:div w:id="1410691918">
      <w:bodyDiv w:val="1"/>
      <w:marLeft w:val="0"/>
      <w:marRight w:val="0"/>
      <w:marTop w:val="0"/>
      <w:marBottom w:val="0"/>
      <w:divBdr>
        <w:top w:val="none" w:sz="0" w:space="0" w:color="auto"/>
        <w:left w:val="none" w:sz="0" w:space="0" w:color="auto"/>
        <w:bottom w:val="none" w:sz="0" w:space="0" w:color="auto"/>
        <w:right w:val="none" w:sz="0" w:space="0" w:color="auto"/>
      </w:divBdr>
    </w:div>
    <w:div w:id="1579024961">
      <w:bodyDiv w:val="1"/>
      <w:marLeft w:val="0"/>
      <w:marRight w:val="0"/>
      <w:marTop w:val="0"/>
      <w:marBottom w:val="0"/>
      <w:divBdr>
        <w:top w:val="none" w:sz="0" w:space="0" w:color="auto"/>
        <w:left w:val="none" w:sz="0" w:space="0" w:color="auto"/>
        <w:bottom w:val="none" w:sz="0" w:space="0" w:color="auto"/>
        <w:right w:val="none" w:sz="0" w:space="0" w:color="auto"/>
      </w:divBdr>
    </w:div>
    <w:div w:id="1796102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qinghai.fan@mpi.govt.nz" TargetMode="External"/><Relationship Id="rId18" Type="http://schemas.openxmlformats.org/officeDocument/2006/relationships/hyperlink" Target="mailto:ippc@fao.org" TargetMode="External"/><Relationship Id="rId26" Type="http://schemas.openxmlformats.org/officeDocument/2006/relationships/hyperlink" Target="https://doi.org/10.1080/15572536.2005.11832900" TargetMode="External"/><Relationship Id="rId39" Type="http://schemas.openxmlformats.org/officeDocument/2006/relationships/hyperlink" Target="https://doi.org/10.1673/031.011.12101" TargetMode="External"/><Relationship Id="rId21" Type="http://schemas.openxmlformats.org/officeDocument/2006/relationships/hyperlink" Target="https://journals.flvc.org/flaent/article/view/57526" TargetMode="External"/><Relationship Id="rId34" Type="http://schemas.openxmlformats.org/officeDocument/2006/relationships/hyperlink" Target="https://doi.org/10.11158/saasp.7.1.1" TargetMode="External"/><Relationship Id="rId42" Type="http://schemas.openxmlformats.org/officeDocument/2006/relationships/hyperlink" Target="https://doi.org/10.24349/acarologia/20174172" TargetMode="External"/><Relationship Id="rId47" Type="http://schemas.openxmlformats.org/officeDocument/2006/relationships/hyperlink" Target="https://doi.org/10.1603/0046-225X-34.4.866" TargetMode="External"/><Relationship Id="rId50" Type="http://schemas.openxmlformats.org/officeDocument/2006/relationships/hyperlink" Target="https://doi.org/10.1007/s10493-007-9092-z" TargetMode="External"/><Relationship Id="rId55" Type="http://schemas.openxmlformats.org/officeDocument/2006/relationships/hyperlink" Target="https://doi.org/10.1007/s10493-018-0224-4" TargetMode="External"/><Relationship Id="rId63" Type="http://schemas.openxmlformats.org/officeDocument/2006/relationships/image" Target="media/image7.png"/><Relationship Id="rId68" Type="http://schemas.openxmlformats.org/officeDocument/2006/relationships/image" Target="media/image11.png"/><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hyperlink" Target="mailto:rahanna@ucla.edu" TargetMode="External"/><Relationship Id="rId29" Type="http://schemas.openxmlformats.org/officeDocument/2006/relationships/hyperlink" Target="https://doi.org/10.1111/epp.12724" TargetMode="External"/><Relationship Id="rId11" Type="http://schemas.openxmlformats.org/officeDocument/2006/relationships/hyperlink" Target="https://doi.org/10.1038/s41598-020-75743-w" TargetMode="External"/><Relationship Id="rId24" Type="http://schemas.openxmlformats.org/officeDocument/2006/relationships/hyperlink" Target="https://doi.org/10.1079/cabicompendium.34767" TargetMode="External"/><Relationship Id="rId32" Type="http://schemas.openxmlformats.org/officeDocument/2006/relationships/hyperlink" Target="https://doi.org/10.1093/aesa/63.1.156" TargetMode="External"/><Relationship Id="rId37" Type="http://schemas.openxmlformats.org/officeDocument/2006/relationships/hyperlink" Target="http://www.ajbasweb.com/old/ajbas/2014/March/342-348.pdf" TargetMode="External"/><Relationship Id="rId40" Type="http://schemas.openxmlformats.org/officeDocument/2006/relationships/hyperlink" Target="http://www1.montpellier.inra.fr/CBGP/spmweb" TargetMode="External"/><Relationship Id="rId45" Type="http://schemas.openxmlformats.org/officeDocument/2006/relationships/hyperlink" Target="https://doi.org/10.1046/j.1365-2540.1998.00349.x" TargetMode="External"/><Relationship Id="rId53" Type="http://schemas.openxmlformats.org/officeDocument/2006/relationships/hyperlink" Target="https://doi.org/10.1007/BF01196187" TargetMode="External"/><Relationship Id="rId58" Type="http://schemas.openxmlformats.org/officeDocument/2006/relationships/image" Target="media/image3.jpeg"/><Relationship Id="rId66" Type="http://schemas.openxmlformats.org/officeDocument/2006/relationships/image" Target="media/image10.png"/><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oleObject" Target="embeddings/oleObject1.bin"/><Relationship Id="rId82"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https://www.ippc.int/core-activities/standards-setting/ispms" TargetMode="External"/><Relationship Id="rId31" Type="http://schemas.openxmlformats.org/officeDocument/2006/relationships/hyperlink" Target="https://www.fao.org/3/i3278e/i3278e.pdf" TargetMode="External"/><Relationship Id="rId44" Type="http://schemas.openxmlformats.org/officeDocument/2006/relationships/hyperlink" Target="https://doi.org/10.1007/BF01246563" TargetMode="External"/><Relationship Id="rId52" Type="http://schemas.openxmlformats.org/officeDocument/2006/relationships/hyperlink" Target="https://doi.org/10.3897/zookeys.407.7564" TargetMode="External"/><Relationship Id="rId60" Type="http://schemas.openxmlformats.org/officeDocument/2006/relationships/image" Target="media/image5.png"/><Relationship Id="rId65" Type="http://schemas.openxmlformats.org/officeDocument/2006/relationships/image" Target="media/image9.png"/><Relationship Id="rId73" Type="http://schemas.openxmlformats.org/officeDocument/2006/relationships/image" Target="media/image15.jp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enise.navia@inrae.fr" TargetMode="External"/><Relationship Id="rId22" Type="http://schemas.openxmlformats.org/officeDocument/2006/relationships/hyperlink" Target="https://doi.org/10.1080/09670878309370833" TargetMode="External"/><Relationship Id="rId27" Type="http://schemas.openxmlformats.org/officeDocument/2006/relationships/hyperlink" Target="https://doi.org/10.1007/s10493-011-9453-5" TargetMode="External"/><Relationship Id="rId30" Type="http://schemas.openxmlformats.org/officeDocument/2006/relationships/hyperlink" Target="https://gd.eppo.int/taxon/MONNTA" TargetMode="External"/><Relationship Id="rId35" Type="http://schemas.openxmlformats.org/officeDocument/2006/relationships/hyperlink" Target="https://doi.org/10.1371/journal.pone.0131887" TargetMode="External"/><Relationship Id="rId43" Type="http://schemas.openxmlformats.org/officeDocument/2006/relationships/hyperlink" Target="https://link.springer.com/article/10.1007/BF00156941" TargetMode="External"/><Relationship Id="rId48" Type="http://schemas.openxmlformats.org/officeDocument/2006/relationships/hyperlink" Target="https://doi.org/10.1038/s41598-020-75743-w" TargetMode="External"/><Relationship Id="rId56" Type="http://schemas.openxmlformats.org/officeDocument/2006/relationships/image" Target="media/image1.jpg"/><Relationship Id="rId64" Type="http://schemas.openxmlformats.org/officeDocument/2006/relationships/image" Target="media/image8.jpg"/><Relationship Id="rId69" Type="http://schemas.openxmlformats.org/officeDocument/2006/relationships/oleObject" Target="embeddings/oleObject3.bin"/><Relationship Id="rId7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s://doi.org/10.1098/rstb.2005.1714" TargetMode="External"/><Relationship Id="rId72" Type="http://schemas.openxmlformats.org/officeDocument/2006/relationships/image" Target="media/image14.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ncbi.nlm.nih.gov" TargetMode="External"/><Relationship Id="rId17" Type="http://schemas.openxmlformats.org/officeDocument/2006/relationships/hyperlink" Target="mailto:rachidhanna01@gmail.com" TargetMode="External"/><Relationship Id="rId25" Type="http://schemas.openxmlformats.org/officeDocument/2006/relationships/hyperlink" Target="https://doi.org/10.1080/01647950108684228" TargetMode="External"/><Relationship Id="rId33" Type="http://schemas.openxmlformats.org/officeDocument/2006/relationships/hyperlink" Target="https://doi.org/10.11158/saa.20.7.10" TargetMode="External"/><Relationship Id="rId38" Type="http://schemas.openxmlformats.org/officeDocument/2006/relationships/hyperlink" Target="https://doi.org/10.1603/EC12328" TargetMode="External"/><Relationship Id="rId46" Type="http://schemas.openxmlformats.org/officeDocument/2006/relationships/hyperlink" Target="https://doi.org/10.1023/A:1006432604611" TargetMode="External"/><Relationship Id="rId59" Type="http://schemas.openxmlformats.org/officeDocument/2006/relationships/image" Target="media/image4.png"/><Relationship Id="rId67" Type="http://schemas.openxmlformats.org/officeDocument/2006/relationships/oleObject" Target="embeddings/oleObject2.bin"/><Relationship Id="rId20" Type="http://schemas.openxmlformats.org/officeDocument/2006/relationships/hyperlink" Target="https://doi.org/10.1007/s10493-010-9395-3" TargetMode="External"/><Relationship Id="rId41" Type="http://schemas.openxmlformats.org/officeDocument/2006/relationships/hyperlink" Target="https://journals.flvc.org/flaent/article/view/59134" TargetMode="External"/><Relationship Id="rId54" Type="http://schemas.openxmlformats.org/officeDocument/2006/relationships/hyperlink" Target="https://doi.org/10.1080/01647950508683667" TargetMode="External"/><Relationship Id="rId62" Type="http://schemas.openxmlformats.org/officeDocument/2006/relationships/image" Target="media/image6.jpeg"/><Relationship Id="rId70" Type="http://schemas.openxmlformats.org/officeDocument/2006/relationships/image" Target="media/image12.png"/><Relationship Id="rId75" Type="http://schemas.openxmlformats.org/officeDocument/2006/relationships/header" Target="header2.xml"/><Relationship Id="rId83"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 TargetMode="External"/><Relationship Id="rId23" Type="http://schemas.openxmlformats.org/officeDocument/2006/relationships/hyperlink" Target="https://doi.org/10.2135/cropsci1982.0011183X002200030011x" TargetMode="External"/><Relationship Id="rId28" Type="http://schemas.openxmlformats.org/officeDocument/2006/relationships/hyperlink" Target="http://www.lea.esalq.usp.br/phytoseiidae" TargetMode="External"/><Relationship Id="rId36" Type="http://schemas.openxmlformats.org/officeDocument/2006/relationships/hyperlink" Target="https://doi.org/10.1016/j.jip.2009.08.012" TargetMode="External"/><Relationship Id="rId49" Type="http://schemas.openxmlformats.org/officeDocument/2006/relationships/hyperlink" Target="https://doi.org/10.3389/fevo.2020.00248" TargetMode="External"/><Relationship Id="rId57"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Desktop\IPPC_2023-01-2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7" ma:contentTypeDescription="Create a new document." ma:contentTypeScope="" ma:versionID="b97c355e8ddb83b53e10132d4d0c39d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7ee668c2352abc57114714e7d7c6a8d9"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3.xml><?xml version="1.0" encoding="utf-8"?>
<FormTemplates xmlns="http://schemas.microsoft.com/sharepoint/v3/contenttype/forms">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B2F2BA6-4C81-475E-8411-BABB7EB31A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D4DF03-14AF-4F07-A23F-B0F60E2A916D}">
  <ds:schemaRefs>
    <ds:schemaRef ds:uri="http://schemas.microsoft.com/office/infopath/2007/PartnerControls"/>
    <ds:schemaRef ds:uri="ea6feb38-a85a-45e8-92e9-814486bbe375"/>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a05d7f75-f42e-4288-8809-604fd4d9691f"/>
    <ds:schemaRef ds:uri="http://www.w3.org/XML/1998/namespace"/>
    <ds:schemaRef ds:uri="http://purl.org/dc/dcmitype/"/>
  </ds:schemaRefs>
</ds:datastoreItem>
</file>

<file path=customXml/itemProps3.xml><?xml version="1.0" encoding="utf-8"?>
<ds:datastoreItem xmlns:ds="http://schemas.openxmlformats.org/officeDocument/2006/customXml" ds:itemID="{5A5E77D4-E69B-4ADC-B512-897289B5820D}">
  <ds:schemaRefs>
    <ds:schemaRef ds:uri="http://schemas.microsoft.com/sharepoint/v3/contenttype/forms"/>
  </ds:schemaRefs>
</ds:datastoreItem>
</file>

<file path=customXml/itemProps4.xml><?xml version="1.0" encoding="utf-8"?>
<ds:datastoreItem xmlns:ds="http://schemas.openxmlformats.org/officeDocument/2006/customXml" ds:itemID="{0C7616F8-7829-4DF9-A983-46FDF4279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IPPC_2023-01-28.dotx</Template>
  <TotalTime>43</TotalTime>
  <Pages>25</Pages>
  <Words>8330</Words>
  <Characters>47484</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55703</CharactersWithSpaces>
  <SharedDoc>false</SharedDoc>
  <HLinks>
    <vt:vector size="282" baseType="variant">
      <vt:variant>
        <vt:i4>131088</vt:i4>
      </vt:variant>
      <vt:variant>
        <vt:i4>137</vt:i4>
      </vt:variant>
      <vt:variant>
        <vt:i4>0</vt:i4>
      </vt:variant>
      <vt:variant>
        <vt:i4>5</vt:i4>
      </vt:variant>
      <vt:variant>
        <vt:lpwstr>https://doi.org/10.1007/s10493-018-0224-4</vt:lpwstr>
      </vt:variant>
      <vt:variant>
        <vt:lpwstr/>
      </vt:variant>
      <vt:variant>
        <vt:i4>1310813</vt:i4>
      </vt:variant>
      <vt:variant>
        <vt:i4>134</vt:i4>
      </vt:variant>
      <vt:variant>
        <vt:i4>0</vt:i4>
      </vt:variant>
      <vt:variant>
        <vt:i4>5</vt:i4>
      </vt:variant>
      <vt:variant>
        <vt:lpwstr>https://doi.org/10.1080/01647950508683667</vt:lpwstr>
      </vt:variant>
      <vt:variant>
        <vt:lpwstr/>
      </vt:variant>
      <vt:variant>
        <vt:i4>8060976</vt:i4>
      </vt:variant>
      <vt:variant>
        <vt:i4>131</vt:i4>
      </vt:variant>
      <vt:variant>
        <vt:i4>0</vt:i4>
      </vt:variant>
      <vt:variant>
        <vt:i4>5</vt:i4>
      </vt:variant>
      <vt:variant>
        <vt:lpwstr>https://doi.org/10.1007/BF01196187</vt:lpwstr>
      </vt:variant>
      <vt:variant>
        <vt:lpwstr/>
      </vt:variant>
      <vt:variant>
        <vt:i4>5505108</vt:i4>
      </vt:variant>
      <vt:variant>
        <vt:i4>128</vt:i4>
      </vt:variant>
      <vt:variant>
        <vt:i4>0</vt:i4>
      </vt:variant>
      <vt:variant>
        <vt:i4>5</vt:i4>
      </vt:variant>
      <vt:variant>
        <vt:lpwstr>https://doi.org/10.3897/zookeys.407.7564</vt:lpwstr>
      </vt:variant>
      <vt:variant>
        <vt:lpwstr/>
      </vt:variant>
      <vt:variant>
        <vt:i4>2359423</vt:i4>
      </vt:variant>
      <vt:variant>
        <vt:i4>125</vt:i4>
      </vt:variant>
      <vt:variant>
        <vt:i4>0</vt:i4>
      </vt:variant>
      <vt:variant>
        <vt:i4>5</vt:i4>
      </vt:variant>
      <vt:variant>
        <vt:lpwstr>https://doi.org/10.1098/rstb.2005.1714</vt:lpwstr>
      </vt:variant>
      <vt:variant>
        <vt:lpwstr/>
      </vt:variant>
      <vt:variant>
        <vt:i4>983061</vt:i4>
      </vt:variant>
      <vt:variant>
        <vt:i4>122</vt:i4>
      </vt:variant>
      <vt:variant>
        <vt:i4>0</vt:i4>
      </vt:variant>
      <vt:variant>
        <vt:i4>5</vt:i4>
      </vt:variant>
      <vt:variant>
        <vt:lpwstr>https://doi.org/10.1007/s10493-007-9092-z</vt:lpwstr>
      </vt:variant>
      <vt:variant>
        <vt:lpwstr/>
      </vt:variant>
      <vt:variant>
        <vt:i4>3735660</vt:i4>
      </vt:variant>
      <vt:variant>
        <vt:i4>119</vt:i4>
      </vt:variant>
      <vt:variant>
        <vt:i4>0</vt:i4>
      </vt:variant>
      <vt:variant>
        <vt:i4>5</vt:i4>
      </vt:variant>
      <vt:variant>
        <vt:lpwstr>https://doi.org/10.3389/fevo.2020.00248</vt:lpwstr>
      </vt:variant>
      <vt:variant>
        <vt:lpwstr/>
      </vt:variant>
      <vt:variant>
        <vt:i4>7143479</vt:i4>
      </vt:variant>
      <vt:variant>
        <vt:i4>116</vt:i4>
      </vt:variant>
      <vt:variant>
        <vt:i4>0</vt:i4>
      </vt:variant>
      <vt:variant>
        <vt:i4>5</vt:i4>
      </vt:variant>
      <vt:variant>
        <vt:lpwstr>https://doi.org/10.1038/s41598-020-75743-w</vt:lpwstr>
      </vt:variant>
      <vt:variant>
        <vt:lpwstr/>
      </vt:variant>
      <vt:variant>
        <vt:i4>3211321</vt:i4>
      </vt:variant>
      <vt:variant>
        <vt:i4>113</vt:i4>
      </vt:variant>
      <vt:variant>
        <vt:i4>0</vt:i4>
      </vt:variant>
      <vt:variant>
        <vt:i4>5</vt:i4>
      </vt:variant>
      <vt:variant>
        <vt:lpwstr>https://doi.org/10.1603/0046-225X-34.4.866</vt:lpwstr>
      </vt:variant>
      <vt:variant>
        <vt:lpwstr/>
      </vt:variant>
      <vt:variant>
        <vt:i4>2949177</vt:i4>
      </vt:variant>
      <vt:variant>
        <vt:i4>110</vt:i4>
      </vt:variant>
      <vt:variant>
        <vt:i4>0</vt:i4>
      </vt:variant>
      <vt:variant>
        <vt:i4>5</vt:i4>
      </vt:variant>
      <vt:variant>
        <vt:lpwstr>https://doi.org/10.1023/A:1006432604611</vt:lpwstr>
      </vt:variant>
      <vt:variant>
        <vt:lpwstr/>
      </vt:variant>
      <vt:variant>
        <vt:i4>5505045</vt:i4>
      </vt:variant>
      <vt:variant>
        <vt:i4>107</vt:i4>
      </vt:variant>
      <vt:variant>
        <vt:i4>0</vt:i4>
      </vt:variant>
      <vt:variant>
        <vt:i4>5</vt:i4>
      </vt:variant>
      <vt:variant>
        <vt:lpwstr>https://doi.org/10.1046/j.1365-2540.1998.00349.x</vt:lpwstr>
      </vt:variant>
      <vt:variant>
        <vt:lpwstr/>
      </vt:variant>
      <vt:variant>
        <vt:i4>7733309</vt:i4>
      </vt:variant>
      <vt:variant>
        <vt:i4>104</vt:i4>
      </vt:variant>
      <vt:variant>
        <vt:i4>0</vt:i4>
      </vt:variant>
      <vt:variant>
        <vt:i4>5</vt:i4>
      </vt:variant>
      <vt:variant>
        <vt:lpwstr>https://doi.org/10.1007/BF01246563</vt:lpwstr>
      </vt:variant>
      <vt:variant>
        <vt:lpwstr/>
      </vt:variant>
      <vt:variant>
        <vt:i4>5898244</vt:i4>
      </vt:variant>
      <vt:variant>
        <vt:i4>101</vt:i4>
      </vt:variant>
      <vt:variant>
        <vt:i4>0</vt:i4>
      </vt:variant>
      <vt:variant>
        <vt:i4>5</vt:i4>
      </vt:variant>
      <vt:variant>
        <vt:lpwstr>https://link.springer.com/article/10.1007/BF00156941</vt:lpwstr>
      </vt:variant>
      <vt:variant>
        <vt:lpwstr/>
      </vt:variant>
      <vt:variant>
        <vt:i4>4653070</vt:i4>
      </vt:variant>
      <vt:variant>
        <vt:i4>98</vt:i4>
      </vt:variant>
      <vt:variant>
        <vt:i4>0</vt:i4>
      </vt:variant>
      <vt:variant>
        <vt:i4>5</vt:i4>
      </vt:variant>
      <vt:variant>
        <vt:lpwstr>https://doi.org/10.24349/acarologia/20174172</vt:lpwstr>
      </vt:variant>
      <vt:variant>
        <vt:lpwstr/>
      </vt:variant>
      <vt:variant>
        <vt:i4>2424944</vt:i4>
      </vt:variant>
      <vt:variant>
        <vt:i4>95</vt:i4>
      </vt:variant>
      <vt:variant>
        <vt:i4>0</vt:i4>
      </vt:variant>
      <vt:variant>
        <vt:i4>5</vt:i4>
      </vt:variant>
      <vt:variant>
        <vt:lpwstr>https://journals.flvc.org/flaent/article/view/59134</vt:lpwstr>
      </vt:variant>
      <vt:variant>
        <vt:lpwstr/>
      </vt:variant>
      <vt:variant>
        <vt:i4>7536672</vt:i4>
      </vt:variant>
      <vt:variant>
        <vt:i4>92</vt:i4>
      </vt:variant>
      <vt:variant>
        <vt:i4>0</vt:i4>
      </vt:variant>
      <vt:variant>
        <vt:i4>5</vt:i4>
      </vt:variant>
      <vt:variant>
        <vt:lpwstr>http://www1.montpellier.inra.fr/CBGP/spmweb</vt:lpwstr>
      </vt:variant>
      <vt:variant>
        <vt:lpwstr/>
      </vt:variant>
      <vt:variant>
        <vt:i4>1310815</vt:i4>
      </vt:variant>
      <vt:variant>
        <vt:i4>89</vt:i4>
      </vt:variant>
      <vt:variant>
        <vt:i4>0</vt:i4>
      </vt:variant>
      <vt:variant>
        <vt:i4>5</vt:i4>
      </vt:variant>
      <vt:variant>
        <vt:lpwstr>https://doi.org/10.1673/031.011.12101</vt:lpwstr>
      </vt:variant>
      <vt:variant>
        <vt:lpwstr/>
      </vt:variant>
      <vt:variant>
        <vt:i4>7340088</vt:i4>
      </vt:variant>
      <vt:variant>
        <vt:i4>86</vt:i4>
      </vt:variant>
      <vt:variant>
        <vt:i4>0</vt:i4>
      </vt:variant>
      <vt:variant>
        <vt:i4>5</vt:i4>
      </vt:variant>
      <vt:variant>
        <vt:lpwstr>https://doi.org/10.1603/EC12328</vt:lpwstr>
      </vt:variant>
      <vt:variant>
        <vt:lpwstr/>
      </vt:variant>
      <vt:variant>
        <vt:i4>5767261</vt:i4>
      </vt:variant>
      <vt:variant>
        <vt:i4>83</vt:i4>
      </vt:variant>
      <vt:variant>
        <vt:i4>0</vt:i4>
      </vt:variant>
      <vt:variant>
        <vt:i4>5</vt:i4>
      </vt:variant>
      <vt:variant>
        <vt:lpwstr>http://www.ajbasweb.com/old/ajbas/2014/March/342-348.pdf</vt:lpwstr>
      </vt:variant>
      <vt:variant>
        <vt:lpwstr/>
      </vt:variant>
      <vt:variant>
        <vt:i4>6094856</vt:i4>
      </vt:variant>
      <vt:variant>
        <vt:i4>80</vt:i4>
      </vt:variant>
      <vt:variant>
        <vt:i4>0</vt:i4>
      </vt:variant>
      <vt:variant>
        <vt:i4>5</vt:i4>
      </vt:variant>
      <vt:variant>
        <vt:lpwstr>https://doi.org/10.1016/j.jip.2009.08.012</vt:lpwstr>
      </vt:variant>
      <vt:variant>
        <vt:lpwstr/>
      </vt:variant>
      <vt:variant>
        <vt:i4>4194381</vt:i4>
      </vt:variant>
      <vt:variant>
        <vt:i4>77</vt:i4>
      </vt:variant>
      <vt:variant>
        <vt:i4>0</vt:i4>
      </vt:variant>
      <vt:variant>
        <vt:i4>5</vt:i4>
      </vt:variant>
      <vt:variant>
        <vt:lpwstr>https://doi.org/10.1371/journal.pone.0131887</vt:lpwstr>
      </vt:variant>
      <vt:variant>
        <vt:lpwstr/>
      </vt:variant>
      <vt:variant>
        <vt:i4>5242957</vt:i4>
      </vt:variant>
      <vt:variant>
        <vt:i4>74</vt:i4>
      </vt:variant>
      <vt:variant>
        <vt:i4>0</vt:i4>
      </vt:variant>
      <vt:variant>
        <vt:i4>5</vt:i4>
      </vt:variant>
      <vt:variant>
        <vt:lpwstr>https://doi.org/10.11158/saasp.7.1.1</vt:lpwstr>
      </vt:variant>
      <vt:variant>
        <vt:lpwstr/>
      </vt:variant>
      <vt:variant>
        <vt:i4>1376264</vt:i4>
      </vt:variant>
      <vt:variant>
        <vt:i4>71</vt:i4>
      </vt:variant>
      <vt:variant>
        <vt:i4>0</vt:i4>
      </vt:variant>
      <vt:variant>
        <vt:i4>5</vt:i4>
      </vt:variant>
      <vt:variant>
        <vt:lpwstr>https://doi.org/10.11158/saa.20.7.10</vt:lpwstr>
      </vt:variant>
      <vt:variant>
        <vt:lpwstr/>
      </vt:variant>
      <vt:variant>
        <vt:i4>1900631</vt:i4>
      </vt:variant>
      <vt:variant>
        <vt:i4>68</vt:i4>
      </vt:variant>
      <vt:variant>
        <vt:i4>0</vt:i4>
      </vt:variant>
      <vt:variant>
        <vt:i4>5</vt:i4>
      </vt:variant>
      <vt:variant>
        <vt:lpwstr>https://doi.org/10.1093/aesa/63.1.156</vt:lpwstr>
      </vt:variant>
      <vt:variant>
        <vt:lpwstr/>
      </vt:variant>
      <vt:variant>
        <vt:i4>3997743</vt:i4>
      </vt:variant>
      <vt:variant>
        <vt:i4>65</vt:i4>
      </vt:variant>
      <vt:variant>
        <vt:i4>0</vt:i4>
      </vt:variant>
      <vt:variant>
        <vt:i4>5</vt:i4>
      </vt:variant>
      <vt:variant>
        <vt:lpwstr>https://www.fao.org/3/i3278e/i3278e.pdf</vt:lpwstr>
      </vt:variant>
      <vt:variant>
        <vt:lpwstr/>
      </vt:variant>
      <vt:variant>
        <vt:i4>5111838</vt:i4>
      </vt:variant>
      <vt:variant>
        <vt:i4>62</vt:i4>
      </vt:variant>
      <vt:variant>
        <vt:i4>0</vt:i4>
      </vt:variant>
      <vt:variant>
        <vt:i4>5</vt:i4>
      </vt:variant>
      <vt:variant>
        <vt:lpwstr>https://gd.eppo.int/taxon/MONNTA</vt:lpwstr>
      </vt:variant>
      <vt:variant>
        <vt:lpwstr/>
      </vt:variant>
      <vt:variant>
        <vt:i4>4980809</vt:i4>
      </vt:variant>
      <vt:variant>
        <vt:i4>59</vt:i4>
      </vt:variant>
      <vt:variant>
        <vt:i4>0</vt:i4>
      </vt:variant>
      <vt:variant>
        <vt:i4>5</vt:i4>
      </vt:variant>
      <vt:variant>
        <vt:lpwstr>https://doi.org/10.1111/epp.12724</vt:lpwstr>
      </vt:variant>
      <vt:variant>
        <vt:lpwstr/>
      </vt:variant>
      <vt:variant>
        <vt:i4>1835022</vt:i4>
      </vt:variant>
      <vt:variant>
        <vt:i4>56</vt:i4>
      </vt:variant>
      <vt:variant>
        <vt:i4>0</vt:i4>
      </vt:variant>
      <vt:variant>
        <vt:i4>5</vt:i4>
      </vt:variant>
      <vt:variant>
        <vt:lpwstr>http://www.lea.esalq.usp.br/phytoseiidae</vt:lpwstr>
      </vt:variant>
      <vt:variant>
        <vt:lpwstr/>
      </vt:variant>
      <vt:variant>
        <vt:i4>327697</vt:i4>
      </vt:variant>
      <vt:variant>
        <vt:i4>53</vt:i4>
      </vt:variant>
      <vt:variant>
        <vt:i4>0</vt:i4>
      </vt:variant>
      <vt:variant>
        <vt:i4>5</vt:i4>
      </vt:variant>
      <vt:variant>
        <vt:lpwstr>https://doi.org/10.1007/s10493-011-9453-5</vt:lpwstr>
      </vt:variant>
      <vt:variant>
        <vt:lpwstr/>
      </vt:variant>
      <vt:variant>
        <vt:i4>4063303</vt:i4>
      </vt:variant>
      <vt:variant>
        <vt:i4>50</vt:i4>
      </vt:variant>
      <vt:variant>
        <vt:i4>0</vt:i4>
      </vt:variant>
      <vt:variant>
        <vt:i4>5</vt:i4>
      </vt:variant>
      <vt:variant>
        <vt:lpwstr>https://doi.org/10.1080/_x000b_15572536.2005.11832900</vt:lpwstr>
      </vt:variant>
      <vt:variant>
        <vt:lpwstr/>
      </vt:variant>
      <vt:variant>
        <vt:i4>1507421</vt:i4>
      </vt:variant>
      <vt:variant>
        <vt:i4>47</vt:i4>
      </vt:variant>
      <vt:variant>
        <vt:i4>0</vt:i4>
      </vt:variant>
      <vt:variant>
        <vt:i4>5</vt:i4>
      </vt:variant>
      <vt:variant>
        <vt:lpwstr>https://doi.org/10.1080/01647950108684228</vt:lpwstr>
      </vt:variant>
      <vt:variant>
        <vt:lpwstr/>
      </vt:variant>
      <vt:variant>
        <vt:i4>5898244</vt:i4>
      </vt:variant>
      <vt:variant>
        <vt:i4>41</vt:i4>
      </vt:variant>
      <vt:variant>
        <vt:i4>0</vt:i4>
      </vt:variant>
      <vt:variant>
        <vt:i4>5</vt:i4>
      </vt:variant>
      <vt:variant>
        <vt:lpwstr>https://doi.org/10.1079/cabicompendium.34767</vt:lpwstr>
      </vt:variant>
      <vt:variant>
        <vt:lpwstr/>
      </vt:variant>
      <vt:variant>
        <vt:i4>1310787</vt:i4>
      </vt:variant>
      <vt:variant>
        <vt:i4>38</vt:i4>
      </vt:variant>
      <vt:variant>
        <vt:i4>0</vt:i4>
      </vt:variant>
      <vt:variant>
        <vt:i4>5</vt:i4>
      </vt:variant>
      <vt:variant>
        <vt:lpwstr>https://doi.org/10.2135/cropsci1982.0011183X002200030011x</vt:lpwstr>
      </vt:variant>
      <vt:variant>
        <vt:lpwstr/>
      </vt:variant>
      <vt:variant>
        <vt:i4>1376350</vt:i4>
      </vt:variant>
      <vt:variant>
        <vt:i4>35</vt:i4>
      </vt:variant>
      <vt:variant>
        <vt:i4>0</vt:i4>
      </vt:variant>
      <vt:variant>
        <vt:i4>5</vt:i4>
      </vt:variant>
      <vt:variant>
        <vt:lpwstr>https://doi.org/10.1080/09670878309370833</vt:lpwstr>
      </vt:variant>
      <vt:variant>
        <vt:lpwstr/>
      </vt:variant>
      <vt:variant>
        <vt:i4>2752628</vt:i4>
      </vt:variant>
      <vt:variant>
        <vt:i4>32</vt:i4>
      </vt:variant>
      <vt:variant>
        <vt:i4>0</vt:i4>
      </vt:variant>
      <vt:variant>
        <vt:i4>5</vt:i4>
      </vt:variant>
      <vt:variant>
        <vt:lpwstr>https://journals.flvc.org/flaent/article/view/57526</vt:lpwstr>
      </vt:variant>
      <vt:variant>
        <vt:lpwstr/>
      </vt:variant>
      <vt:variant>
        <vt:i4>524304</vt:i4>
      </vt:variant>
      <vt:variant>
        <vt:i4>29</vt:i4>
      </vt:variant>
      <vt:variant>
        <vt:i4>0</vt:i4>
      </vt:variant>
      <vt:variant>
        <vt:i4>5</vt:i4>
      </vt:variant>
      <vt:variant>
        <vt:lpwstr>https://doi.org/10.1007/s10493-010-9395-3</vt:lpwstr>
      </vt:variant>
      <vt:variant>
        <vt:lpwstr/>
      </vt:variant>
      <vt:variant>
        <vt:i4>1507357</vt:i4>
      </vt:variant>
      <vt:variant>
        <vt:i4>26</vt:i4>
      </vt:variant>
      <vt:variant>
        <vt:i4>0</vt:i4>
      </vt:variant>
      <vt:variant>
        <vt:i4>5</vt:i4>
      </vt:variant>
      <vt:variant>
        <vt:lpwstr>https://www.ippc.int/core-activities/standards-setting/ispms</vt:lpwstr>
      </vt:variant>
      <vt:variant>
        <vt:lpwstr/>
      </vt:variant>
      <vt:variant>
        <vt:i4>393279</vt:i4>
      </vt:variant>
      <vt:variant>
        <vt:i4>23</vt:i4>
      </vt:variant>
      <vt:variant>
        <vt:i4>0</vt:i4>
      </vt:variant>
      <vt:variant>
        <vt:i4>5</vt:i4>
      </vt:variant>
      <vt:variant>
        <vt:lpwstr>mailto:ippc@fao.org</vt:lpwstr>
      </vt:variant>
      <vt:variant>
        <vt:lpwstr/>
      </vt:variant>
      <vt:variant>
        <vt:i4>2621469</vt:i4>
      </vt:variant>
      <vt:variant>
        <vt:i4>20</vt:i4>
      </vt:variant>
      <vt:variant>
        <vt:i4>0</vt:i4>
      </vt:variant>
      <vt:variant>
        <vt:i4>5</vt:i4>
      </vt:variant>
      <vt:variant>
        <vt:lpwstr>mailto:rachidhanna01@gmail.com</vt:lpwstr>
      </vt:variant>
      <vt:variant>
        <vt:lpwstr/>
      </vt:variant>
      <vt:variant>
        <vt:i4>2359299</vt:i4>
      </vt:variant>
      <vt:variant>
        <vt:i4>17</vt:i4>
      </vt:variant>
      <vt:variant>
        <vt:i4>0</vt:i4>
      </vt:variant>
      <vt:variant>
        <vt:i4>5</vt:i4>
      </vt:variant>
      <vt:variant>
        <vt:lpwstr>mailto:rahanna@ucla.edu</vt:lpwstr>
      </vt:variant>
      <vt:variant>
        <vt:lpwstr/>
      </vt:variant>
      <vt:variant>
        <vt:i4>6422640</vt:i4>
      </vt:variant>
      <vt:variant>
        <vt:i4>15</vt:i4>
      </vt:variant>
      <vt:variant>
        <vt:i4>0</vt:i4>
      </vt:variant>
      <vt:variant>
        <vt:i4>5</vt:i4>
      </vt:variant>
      <vt:variant>
        <vt:lpwstr>mailto:</vt:lpwstr>
      </vt:variant>
      <vt:variant>
        <vt:lpwstr/>
      </vt:variant>
      <vt:variant>
        <vt:i4>3014722</vt:i4>
      </vt:variant>
      <vt:variant>
        <vt:i4>12</vt:i4>
      </vt:variant>
      <vt:variant>
        <vt:i4>0</vt:i4>
      </vt:variant>
      <vt:variant>
        <vt:i4>5</vt:i4>
      </vt:variant>
      <vt:variant>
        <vt:lpwstr>mailto:denise.navia@inrae.fr</vt:lpwstr>
      </vt:variant>
      <vt:variant>
        <vt:lpwstr/>
      </vt:variant>
      <vt:variant>
        <vt:i4>3473409</vt:i4>
      </vt:variant>
      <vt:variant>
        <vt:i4>9</vt:i4>
      </vt:variant>
      <vt:variant>
        <vt:i4>0</vt:i4>
      </vt:variant>
      <vt:variant>
        <vt:i4>5</vt:i4>
      </vt:variant>
      <vt:variant>
        <vt:lpwstr>mailto:qinghai.fan@mpi.govt.nz</vt:lpwstr>
      </vt:variant>
      <vt:variant>
        <vt:lpwstr/>
      </vt:variant>
      <vt:variant>
        <vt:i4>4980814</vt:i4>
      </vt:variant>
      <vt:variant>
        <vt:i4>6</vt:i4>
      </vt:variant>
      <vt:variant>
        <vt:i4>0</vt:i4>
      </vt:variant>
      <vt:variant>
        <vt:i4>5</vt:i4>
      </vt:variant>
      <vt:variant>
        <vt:lpwstr>http://www.ncbi.nlm.nih.gov/</vt:lpwstr>
      </vt:variant>
      <vt:variant>
        <vt:lpwstr/>
      </vt:variant>
      <vt:variant>
        <vt:i4>7143479</vt:i4>
      </vt:variant>
      <vt:variant>
        <vt:i4>3</vt:i4>
      </vt:variant>
      <vt:variant>
        <vt:i4>0</vt:i4>
      </vt:variant>
      <vt:variant>
        <vt:i4>5</vt:i4>
      </vt:variant>
      <vt:variant>
        <vt:lpwstr>https://doi.org/10.1038/s41598-020-75743-w</vt:lpwstr>
      </vt:variant>
      <vt:variant>
        <vt:lpwstr/>
      </vt:variant>
      <vt:variant>
        <vt:i4>7864380</vt:i4>
      </vt:variant>
      <vt:variant>
        <vt:i4>3</vt:i4>
      </vt:variant>
      <vt:variant>
        <vt:i4>0</vt:i4>
      </vt:variant>
      <vt:variant>
        <vt:i4>5</vt:i4>
      </vt:variant>
      <vt:variant>
        <vt:lpwstr>https://doi.org/10.1007/BF00156941</vt:lpwstr>
      </vt:variant>
      <vt:variant>
        <vt:lpwstr/>
      </vt:variant>
      <vt:variant>
        <vt:i4>5898244</vt:i4>
      </vt:variant>
      <vt:variant>
        <vt:i4>0</vt:i4>
      </vt:variant>
      <vt:variant>
        <vt:i4>0</vt:i4>
      </vt:variant>
      <vt:variant>
        <vt:i4>5</vt:i4>
      </vt:variant>
      <vt:variant>
        <vt:lpwstr>https://doi.org/10.1079/cabicompendium.34767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MangiliAndre, Erika (NSPD)</dc:creator>
  <cp:keywords/>
  <dc:description/>
  <cp:lastModifiedBy>Kiss, Janka (NSP)</cp:lastModifiedBy>
  <cp:revision>12</cp:revision>
  <cp:lastPrinted>2023-01-19T15:30:00Z</cp:lastPrinted>
  <dcterms:created xsi:type="dcterms:W3CDTF">2023-05-31T17:45:00Z</dcterms:created>
  <dcterms:modified xsi:type="dcterms:W3CDTF">2023-06-02T14:42:00Z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y fmtid="{D5CDD505-2E9C-101B-9397-08002B2CF9AE}" pid="4" name="GrammarlyDocumentId">
    <vt:lpwstr>561bb6e5f3107f43987e7dd779a86fc1cb2b2801ee42326aafe2e48da317b8fe</vt:lpwstr>
  </property>
</Properties>
</file>