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4F65FC" w14:textId="1DE5A02C" w:rsidR="002421C1" w:rsidRPr="002421C1" w:rsidRDefault="002421C1" w:rsidP="002421C1">
      <w:pPr>
        <w:jc w:val="center"/>
        <w:rPr>
          <w:rStyle w:val="PleaseReviewParagraphId"/>
          <w:b/>
          <w:bCs/>
          <w:caps/>
          <w:noProof/>
          <w:color w:val="auto"/>
          <w:sz w:val="20"/>
        </w:rPr>
      </w:pPr>
      <w:r w:rsidRPr="002421C1">
        <w:rPr>
          <w:rStyle w:val="PleaseReviewParagraphId"/>
          <w:b/>
          <w:noProof/>
          <w:color w:val="auto"/>
          <w:sz w:val="20"/>
        </w:rPr>
        <w:t>Notes from Secretariat:</w:t>
      </w:r>
      <w:r w:rsidRPr="002421C1">
        <w:rPr>
          <w:rStyle w:val="PleaseReviewParagraphId"/>
          <w:noProof/>
          <w:color w:val="auto"/>
          <w:sz w:val="20"/>
        </w:rPr>
        <w:t xml:space="preserve"> The paragraph numbers</w:t>
      </w:r>
      <w:r w:rsidR="00997AE4">
        <w:rPr>
          <w:rStyle w:val="PleaseReviewParagraphId"/>
          <w:noProof/>
          <w:color w:val="auto"/>
          <w:sz w:val="20"/>
        </w:rPr>
        <w:t xml:space="preserve"> and formatting of the document</w:t>
      </w:r>
      <w:r w:rsidRPr="002421C1">
        <w:rPr>
          <w:rStyle w:val="PleaseReviewParagraphId"/>
          <w:noProof/>
          <w:color w:val="auto"/>
          <w:sz w:val="20"/>
        </w:rPr>
        <w:t xml:space="preserve"> will be adjusted </w:t>
      </w:r>
      <w:r w:rsidR="00997AE4">
        <w:rPr>
          <w:rStyle w:val="PleaseReviewParagraphId"/>
          <w:noProof/>
          <w:color w:val="auto"/>
          <w:sz w:val="20"/>
        </w:rPr>
        <w:t>after</w:t>
      </w:r>
      <w:r w:rsidRPr="002421C1">
        <w:rPr>
          <w:rStyle w:val="PleaseReviewParagraphId"/>
          <w:noProof/>
          <w:color w:val="auto"/>
          <w:sz w:val="20"/>
        </w:rPr>
        <w:t xml:space="preserve"> adoption. </w:t>
      </w:r>
    </w:p>
    <w:p w14:paraId="4D45FD26" w14:textId="761FA1AE" w:rsidR="002421C1" w:rsidRDefault="002421C1">
      <w:pPr>
        <w:pStyle w:val="IPPNormal"/>
        <w:rPr>
          <w:rStyle w:val="PleaseReviewParagraphId"/>
        </w:rPr>
      </w:pPr>
    </w:p>
    <w:p w14:paraId="790A7F50" w14:textId="110D67AF" w:rsidR="00612969" w:rsidRPr="007D2212" w:rsidRDefault="00E97743">
      <w:pPr>
        <w:pStyle w:val="IPPNormal"/>
        <w:rPr>
          <w:b/>
          <w:bCs/>
          <w:color w:val="000000" w:themeColor="text1"/>
        </w:rPr>
      </w:pPr>
      <w:r w:rsidRPr="007D2212">
        <w:rPr>
          <w:rStyle w:val="PleaseReviewParagraphId"/>
        </w:rPr>
        <w:t>[1]</w:t>
      </w:r>
      <w:r w:rsidRPr="007D2212">
        <w:rPr>
          <w:b/>
          <w:bCs/>
        </w:rPr>
        <w:t xml:space="preserve">Draft Annex to ISPM 27 – </w:t>
      </w:r>
      <w:r w:rsidRPr="007D2212">
        <w:rPr>
          <w:b/>
          <w:bCs/>
          <w:i/>
          <w:iCs/>
        </w:rPr>
        <w:t xml:space="preserve">Bactrocera dorsalis </w:t>
      </w:r>
      <w:r w:rsidRPr="007D2212">
        <w:rPr>
          <w:b/>
          <w:bCs/>
          <w:iCs/>
        </w:rPr>
        <w:t>complex</w:t>
      </w:r>
      <w:r w:rsidRPr="007D2212">
        <w:rPr>
          <w:b/>
          <w:bCs/>
        </w:rPr>
        <w:t xml:space="preserve"> (2006-026)</w:t>
      </w:r>
      <w:bookmarkStart w:id="0" w:name="_GoBack"/>
      <w:bookmarkEnd w:id="0"/>
    </w:p>
    <w:tbl>
      <w:tblPr>
        <w:tblpPr w:leftFromText="180" w:rightFromText="180" w:vertAnchor="text" w:tblpX="-31" w:tblpY="1"/>
        <w:tblOverlap w:val="never"/>
        <w:tblW w:w="5000" w:type="pct"/>
        <w:tblCellSpacing w:w="7" w:type="dxa"/>
        <w:tblBorders>
          <w:top w:val="outset" w:sz="6" w:space="0" w:color="00000A"/>
          <w:left w:val="outset" w:sz="6" w:space="0" w:color="00000A"/>
          <w:bottom w:val="outset" w:sz="6" w:space="0" w:color="00000A"/>
          <w:right w:val="outset" w:sz="6" w:space="0" w:color="00000A"/>
        </w:tblBorders>
        <w:tblCellMar>
          <w:top w:w="30" w:type="dxa"/>
          <w:left w:w="30" w:type="dxa"/>
          <w:bottom w:w="30" w:type="dxa"/>
          <w:right w:w="30" w:type="dxa"/>
        </w:tblCellMar>
        <w:tblLook w:val="00A0" w:firstRow="1" w:lastRow="0" w:firstColumn="1" w:lastColumn="0" w:noHBand="0" w:noVBand="0"/>
      </w:tblPr>
      <w:tblGrid>
        <w:gridCol w:w="3022"/>
        <w:gridCol w:w="5989"/>
      </w:tblGrid>
      <w:tr w:rsidR="00612969" w:rsidRPr="007D2212" w14:paraId="30CE187E" w14:textId="77777777">
        <w:trPr>
          <w:trHeight w:val="394"/>
          <w:tblCellSpacing w:w="7" w:type="dxa"/>
        </w:trPr>
        <w:tc>
          <w:tcPr>
            <w:tcW w:w="9210" w:type="dxa"/>
            <w:gridSpan w:val="2"/>
            <w:tcBorders>
              <w:top w:val="outset" w:sz="6" w:space="0" w:color="00000A"/>
              <w:bottom w:val="outset" w:sz="6" w:space="0" w:color="00000A"/>
              <w:right w:val="outset" w:sz="6" w:space="0" w:color="000005"/>
            </w:tcBorders>
          </w:tcPr>
          <w:p w14:paraId="22C31374" w14:textId="77777777" w:rsidR="00612969" w:rsidRPr="007D2212" w:rsidRDefault="00E97743">
            <w:pPr>
              <w:pStyle w:val="IPPParagraphnumbering"/>
              <w:rPr>
                <w:rFonts w:ascii="Arial" w:hAnsi="Arial" w:cs="Arial"/>
                <w:sz w:val="18"/>
                <w:szCs w:val="18"/>
                <w:lang w:val="en-GB"/>
              </w:rPr>
            </w:pPr>
            <w:r w:rsidRPr="007D2212">
              <w:rPr>
                <w:rStyle w:val="PleaseReviewParagraphId"/>
                <w:lang w:val="en-GB"/>
              </w:rPr>
              <w:t>[2]</w:t>
            </w:r>
            <w:r w:rsidRPr="007D2212">
              <w:rPr>
                <w:rFonts w:ascii="Arial" w:hAnsi="Arial" w:cs="Arial"/>
                <w:b/>
                <w:bCs/>
                <w:sz w:val="18"/>
                <w:szCs w:val="18"/>
                <w:lang w:val="en-GB"/>
              </w:rPr>
              <w:t>Status box</w:t>
            </w:r>
          </w:p>
        </w:tc>
      </w:tr>
      <w:tr w:rsidR="00612969" w:rsidRPr="007D2212" w14:paraId="09446A42" w14:textId="77777777">
        <w:trPr>
          <w:trHeight w:val="117"/>
          <w:tblCellSpacing w:w="7" w:type="dxa"/>
        </w:trPr>
        <w:tc>
          <w:tcPr>
            <w:tcW w:w="9210" w:type="dxa"/>
            <w:gridSpan w:val="2"/>
            <w:tcBorders>
              <w:top w:val="outset" w:sz="6" w:space="0" w:color="00000A"/>
              <w:bottom w:val="outset" w:sz="6" w:space="0" w:color="00000A"/>
              <w:right w:val="outset" w:sz="6" w:space="0" w:color="000005"/>
            </w:tcBorders>
          </w:tcPr>
          <w:p w14:paraId="6D8E5AF5" w14:textId="77777777" w:rsidR="00612969" w:rsidRPr="007D2212" w:rsidRDefault="00E97743">
            <w:pPr>
              <w:pStyle w:val="IPPParagraphnumbering"/>
              <w:rPr>
                <w:rFonts w:ascii="Arial" w:hAnsi="Arial" w:cs="Arial"/>
                <w:sz w:val="18"/>
                <w:szCs w:val="18"/>
                <w:lang w:val="en-GB"/>
              </w:rPr>
            </w:pPr>
            <w:r w:rsidRPr="007D2212">
              <w:rPr>
                <w:rStyle w:val="PleaseReviewParagraphId"/>
                <w:lang w:val="en-GB"/>
              </w:rPr>
              <w:t>[3]</w:t>
            </w:r>
            <w:r w:rsidRPr="007D2212">
              <w:rPr>
                <w:rFonts w:ascii="Arial" w:hAnsi="Arial" w:cs="Arial"/>
                <w:i/>
                <w:sz w:val="18"/>
                <w:szCs w:val="18"/>
                <w:lang w:val="en-GB"/>
              </w:rPr>
              <w:t>This is not an official part of the standard, and it will be modified by the IPPC Secretariat after adoption.</w:t>
            </w:r>
          </w:p>
        </w:tc>
      </w:tr>
      <w:tr w:rsidR="00612969" w:rsidRPr="007D2212" w14:paraId="45D67E5D" w14:textId="77777777">
        <w:trPr>
          <w:trHeight w:val="117"/>
          <w:tblCellSpacing w:w="7" w:type="dxa"/>
        </w:trPr>
        <w:tc>
          <w:tcPr>
            <w:tcW w:w="3062" w:type="dxa"/>
            <w:tcBorders>
              <w:top w:val="outset" w:sz="6" w:space="0" w:color="00000A"/>
              <w:bottom w:val="outset" w:sz="6" w:space="0" w:color="00000A"/>
              <w:right w:val="outset" w:sz="6" w:space="0" w:color="00000A"/>
            </w:tcBorders>
          </w:tcPr>
          <w:p w14:paraId="20AD2631" w14:textId="77777777" w:rsidR="00612969" w:rsidRPr="007D2212" w:rsidRDefault="00E97743">
            <w:pPr>
              <w:pStyle w:val="IPPParagraphnumbering"/>
              <w:rPr>
                <w:rFonts w:ascii="Arial" w:hAnsi="Arial" w:cs="Arial"/>
                <w:sz w:val="18"/>
                <w:szCs w:val="18"/>
                <w:lang w:val="en-GB"/>
              </w:rPr>
            </w:pPr>
            <w:r w:rsidRPr="007D2212">
              <w:rPr>
                <w:rStyle w:val="PleaseReviewParagraphId"/>
                <w:lang w:val="en-GB"/>
              </w:rPr>
              <w:t>[4]</w:t>
            </w:r>
            <w:r w:rsidRPr="007D2212">
              <w:rPr>
                <w:rFonts w:ascii="Arial" w:hAnsi="Arial" w:cs="Arial"/>
                <w:b/>
                <w:bCs/>
                <w:sz w:val="18"/>
                <w:szCs w:val="18"/>
                <w:lang w:val="en-GB"/>
              </w:rPr>
              <w:t>Date of this document</w:t>
            </w:r>
          </w:p>
        </w:tc>
        <w:tc>
          <w:tcPr>
            <w:tcW w:w="6134" w:type="dxa"/>
            <w:tcBorders>
              <w:top w:val="outset" w:sz="6" w:space="0" w:color="00000A"/>
              <w:left w:val="outset" w:sz="6" w:space="0" w:color="00000A"/>
              <w:bottom w:val="outset" w:sz="6" w:space="0" w:color="00000A"/>
            </w:tcBorders>
          </w:tcPr>
          <w:p w14:paraId="2D9EF2D4" w14:textId="2F7C6BD3" w:rsidR="00612969" w:rsidRPr="007D2212" w:rsidRDefault="00E97743" w:rsidP="002644AB">
            <w:pPr>
              <w:pStyle w:val="IPPParagraphnumbering"/>
              <w:rPr>
                <w:rFonts w:ascii="Arial" w:hAnsi="Arial" w:cs="Arial"/>
                <w:sz w:val="18"/>
                <w:szCs w:val="18"/>
                <w:lang w:val="en-GB"/>
              </w:rPr>
            </w:pPr>
            <w:r w:rsidRPr="007D2212">
              <w:rPr>
                <w:rStyle w:val="PleaseReviewParagraphId"/>
                <w:lang w:val="en-GB"/>
              </w:rPr>
              <w:t>[5]</w:t>
            </w:r>
            <w:r w:rsidR="002421C1">
              <w:rPr>
                <w:rFonts w:ascii="Arial" w:hAnsi="Arial" w:cs="Arial"/>
                <w:sz w:val="18"/>
                <w:szCs w:val="18"/>
                <w:lang w:val="en-GB"/>
              </w:rPr>
              <w:t>2018-</w:t>
            </w:r>
            <w:r w:rsidR="002644AB">
              <w:rPr>
                <w:rFonts w:ascii="Arial" w:hAnsi="Arial" w:cs="Arial"/>
                <w:sz w:val="18"/>
                <w:szCs w:val="18"/>
                <w:lang w:val="en-GB"/>
              </w:rPr>
              <w:t>06-13</w:t>
            </w:r>
          </w:p>
        </w:tc>
      </w:tr>
      <w:tr w:rsidR="00612969" w:rsidRPr="007D2212" w14:paraId="110E237E" w14:textId="77777777">
        <w:trPr>
          <w:trHeight w:val="113"/>
          <w:tblCellSpacing w:w="7" w:type="dxa"/>
        </w:trPr>
        <w:tc>
          <w:tcPr>
            <w:tcW w:w="3062" w:type="dxa"/>
            <w:tcBorders>
              <w:top w:val="outset" w:sz="6" w:space="0" w:color="00000A"/>
              <w:bottom w:val="outset" w:sz="6" w:space="0" w:color="00000A"/>
              <w:right w:val="outset" w:sz="6" w:space="0" w:color="00000A"/>
            </w:tcBorders>
          </w:tcPr>
          <w:p w14:paraId="50BA9D56" w14:textId="77777777" w:rsidR="00612969" w:rsidRPr="007D2212" w:rsidRDefault="00E97743">
            <w:pPr>
              <w:pStyle w:val="IPPParagraphnumbering"/>
              <w:rPr>
                <w:rFonts w:ascii="Arial" w:hAnsi="Arial" w:cs="Arial"/>
                <w:sz w:val="18"/>
                <w:szCs w:val="18"/>
                <w:lang w:val="en-GB"/>
              </w:rPr>
            </w:pPr>
            <w:r w:rsidRPr="007D2212">
              <w:rPr>
                <w:rStyle w:val="PleaseReviewParagraphId"/>
                <w:lang w:val="en-GB"/>
              </w:rPr>
              <w:t>[6]</w:t>
            </w:r>
            <w:r w:rsidRPr="007D2212">
              <w:rPr>
                <w:rFonts w:ascii="Arial" w:hAnsi="Arial" w:cs="Arial"/>
                <w:b/>
                <w:bCs/>
                <w:sz w:val="18"/>
                <w:szCs w:val="18"/>
                <w:lang w:val="en-GB"/>
              </w:rPr>
              <w:t>Document category</w:t>
            </w:r>
          </w:p>
        </w:tc>
        <w:tc>
          <w:tcPr>
            <w:tcW w:w="6134" w:type="dxa"/>
            <w:tcBorders>
              <w:top w:val="outset" w:sz="6" w:space="0" w:color="00000A"/>
              <w:left w:val="outset" w:sz="6" w:space="0" w:color="00000A"/>
              <w:bottom w:val="outset" w:sz="6" w:space="0" w:color="00000A"/>
            </w:tcBorders>
          </w:tcPr>
          <w:p w14:paraId="2232C722" w14:textId="77777777" w:rsidR="00612969" w:rsidRPr="007D2212" w:rsidRDefault="00E97743">
            <w:pPr>
              <w:pStyle w:val="IPPParagraphnumbering"/>
              <w:rPr>
                <w:rFonts w:ascii="Arial" w:hAnsi="Arial" w:cs="Arial"/>
                <w:sz w:val="18"/>
                <w:szCs w:val="18"/>
                <w:lang w:val="en-GB"/>
              </w:rPr>
            </w:pPr>
            <w:r w:rsidRPr="007D2212">
              <w:rPr>
                <w:rStyle w:val="PleaseReviewParagraphId"/>
                <w:lang w:val="en-GB"/>
              </w:rPr>
              <w:t>[7]</w:t>
            </w:r>
            <w:r w:rsidRPr="007D2212">
              <w:rPr>
                <w:rFonts w:ascii="Arial" w:hAnsi="Arial" w:cs="Arial"/>
                <w:sz w:val="18"/>
                <w:szCs w:val="18"/>
                <w:lang w:val="en-GB"/>
              </w:rPr>
              <w:t>Draft new annex to ISPM 27 (</w:t>
            </w:r>
            <w:r w:rsidRPr="007D2212">
              <w:rPr>
                <w:rFonts w:ascii="Arial" w:hAnsi="Arial" w:cs="Arial"/>
                <w:i/>
                <w:iCs/>
                <w:sz w:val="18"/>
                <w:szCs w:val="18"/>
                <w:lang w:val="en-GB"/>
              </w:rPr>
              <w:t>Diagnostic protocols for regulated pests)</w:t>
            </w:r>
          </w:p>
        </w:tc>
      </w:tr>
      <w:tr w:rsidR="00612969" w:rsidRPr="007D2212" w14:paraId="1B664003" w14:textId="77777777">
        <w:trPr>
          <w:trHeight w:val="117"/>
          <w:tblCellSpacing w:w="7" w:type="dxa"/>
        </w:trPr>
        <w:tc>
          <w:tcPr>
            <w:tcW w:w="3062" w:type="dxa"/>
            <w:tcBorders>
              <w:top w:val="outset" w:sz="6" w:space="0" w:color="00000A"/>
              <w:bottom w:val="outset" w:sz="6" w:space="0" w:color="00000A"/>
              <w:right w:val="outset" w:sz="6" w:space="0" w:color="00000A"/>
            </w:tcBorders>
          </w:tcPr>
          <w:p w14:paraId="66745ED4" w14:textId="77777777" w:rsidR="00612969" w:rsidRPr="007D2212" w:rsidRDefault="00E97743">
            <w:pPr>
              <w:pStyle w:val="IPPParagraphnumbering"/>
              <w:rPr>
                <w:rFonts w:ascii="Arial" w:hAnsi="Arial" w:cs="Arial"/>
                <w:sz w:val="18"/>
                <w:szCs w:val="18"/>
                <w:lang w:val="en-GB"/>
              </w:rPr>
            </w:pPr>
            <w:r w:rsidRPr="007D2212">
              <w:rPr>
                <w:rStyle w:val="PleaseReviewParagraphId"/>
                <w:lang w:val="en-GB"/>
              </w:rPr>
              <w:t>[8]</w:t>
            </w:r>
            <w:r w:rsidRPr="007D2212">
              <w:rPr>
                <w:rFonts w:ascii="Arial" w:hAnsi="Arial" w:cs="Arial"/>
                <w:b/>
                <w:bCs/>
                <w:sz w:val="18"/>
                <w:szCs w:val="18"/>
                <w:lang w:val="en-GB"/>
              </w:rPr>
              <w:t>Current document stage</w:t>
            </w:r>
          </w:p>
        </w:tc>
        <w:tc>
          <w:tcPr>
            <w:tcW w:w="6134" w:type="dxa"/>
            <w:tcBorders>
              <w:top w:val="outset" w:sz="6" w:space="0" w:color="00000A"/>
              <w:left w:val="outset" w:sz="6" w:space="0" w:color="00000A"/>
              <w:bottom w:val="outset" w:sz="6" w:space="0" w:color="00000A"/>
            </w:tcBorders>
          </w:tcPr>
          <w:p w14:paraId="1966E4DA" w14:textId="627A128B" w:rsidR="00612969" w:rsidRPr="007D2212" w:rsidRDefault="00E97743" w:rsidP="002644AB">
            <w:pPr>
              <w:pStyle w:val="IPPParagraphnumbering"/>
              <w:rPr>
                <w:rFonts w:ascii="Arial" w:hAnsi="Arial" w:cs="Arial"/>
                <w:sz w:val="18"/>
                <w:szCs w:val="18"/>
                <w:lang w:val="en-GB"/>
              </w:rPr>
            </w:pPr>
            <w:r w:rsidRPr="007D2212">
              <w:rPr>
                <w:rStyle w:val="PleaseReviewParagraphId"/>
                <w:lang w:val="en-GB"/>
              </w:rPr>
              <w:t>[9]</w:t>
            </w:r>
            <w:r w:rsidRPr="007D2212">
              <w:rPr>
                <w:rFonts w:ascii="Arial" w:hAnsi="Arial" w:cs="Arial"/>
                <w:i/>
                <w:sz w:val="18"/>
                <w:szCs w:val="18"/>
                <w:lang w:val="en-GB"/>
              </w:rPr>
              <w:t>To</w:t>
            </w:r>
            <w:r w:rsidRPr="007D2212">
              <w:rPr>
                <w:rFonts w:ascii="Arial" w:hAnsi="Arial" w:cs="Arial"/>
                <w:sz w:val="18"/>
                <w:szCs w:val="18"/>
                <w:lang w:val="en-GB"/>
              </w:rPr>
              <w:t xml:space="preserve"> </w:t>
            </w:r>
            <w:r w:rsidR="002644AB">
              <w:rPr>
                <w:rFonts w:ascii="Arial" w:hAnsi="Arial" w:cs="Arial"/>
                <w:sz w:val="18"/>
                <w:szCs w:val="18"/>
                <w:lang w:val="en-GB"/>
              </w:rPr>
              <w:t>DP notification period</w:t>
            </w:r>
          </w:p>
        </w:tc>
      </w:tr>
      <w:tr w:rsidR="00612969" w:rsidRPr="007D2212" w14:paraId="26535F49" w14:textId="77777777">
        <w:trPr>
          <w:trHeight w:val="128"/>
          <w:tblCellSpacing w:w="7" w:type="dxa"/>
        </w:trPr>
        <w:tc>
          <w:tcPr>
            <w:tcW w:w="3062" w:type="dxa"/>
            <w:tcBorders>
              <w:top w:val="outset" w:sz="6" w:space="0" w:color="00000A"/>
              <w:bottom w:val="outset" w:sz="6" w:space="0" w:color="00000A"/>
              <w:right w:val="outset" w:sz="6" w:space="0" w:color="00000A"/>
            </w:tcBorders>
          </w:tcPr>
          <w:p w14:paraId="3CB26B23" w14:textId="77777777" w:rsidR="00612969" w:rsidRPr="007D2212" w:rsidRDefault="00E97743">
            <w:pPr>
              <w:pStyle w:val="IPPParagraphnumbering"/>
              <w:rPr>
                <w:rFonts w:ascii="Arial" w:hAnsi="Arial" w:cs="Arial"/>
                <w:sz w:val="18"/>
                <w:szCs w:val="18"/>
                <w:lang w:val="en-GB"/>
              </w:rPr>
            </w:pPr>
            <w:r w:rsidRPr="007D2212">
              <w:rPr>
                <w:rStyle w:val="PleaseReviewParagraphId"/>
                <w:lang w:val="en-GB"/>
              </w:rPr>
              <w:t>[10]</w:t>
            </w:r>
            <w:r w:rsidRPr="007D2212">
              <w:rPr>
                <w:rFonts w:ascii="Arial" w:hAnsi="Arial" w:cs="Arial"/>
                <w:b/>
                <w:bCs/>
                <w:sz w:val="18"/>
                <w:szCs w:val="18"/>
                <w:lang w:val="en-GB"/>
              </w:rPr>
              <w:t>Major stages</w:t>
            </w:r>
          </w:p>
        </w:tc>
        <w:tc>
          <w:tcPr>
            <w:tcW w:w="6134" w:type="dxa"/>
            <w:tcBorders>
              <w:top w:val="outset" w:sz="6" w:space="0" w:color="00000A"/>
              <w:left w:val="outset" w:sz="6" w:space="0" w:color="00000A"/>
              <w:bottom w:val="outset" w:sz="6" w:space="0" w:color="00000A"/>
            </w:tcBorders>
          </w:tcPr>
          <w:p w14:paraId="23C4F276" w14:textId="29C6ADAD" w:rsidR="00612969" w:rsidRPr="007D2212" w:rsidRDefault="00E97743">
            <w:pPr>
              <w:pStyle w:val="IPPNormal"/>
              <w:spacing w:after="60"/>
              <w:rPr>
                <w:rFonts w:ascii="Arial" w:hAnsi="Arial" w:cs="Arial"/>
                <w:sz w:val="18"/>
                <w:szCs w:val="18"/>
              </w:rPr>
            </w:pPr>
            <w:r w:rsidRPr="007D2212">
              <w:rPr>
                <w:rStyle w:val="PleaseReviewParagraphId"/>
              </w:rPr>
              <w:t>[11]</w:t>
            </w:r>
            <w:r w:rsidRPr="007D2212">
              <w:rPr>
                <w:rFonts w:ascii="Arial" w:hAnsi="Arial" w:cs="Arial"/>
                <w:sz w:val="18"/>
                <w:szCs w:val="18"/>
              </w:rPr>
              <w:t>2006-05 Standard</w:t>
            </w:r>
            <w:r w:rsidR="00495741">
              <w:rPr>
                <w:rFonts w:ascii="Arial" w:hAnsi="Arial" w:cs="Arial"/>
                <w:sz w:val="18"/>
                <w:szCs w:val="18"/>
              </w:rPr>
              <w:t>s</w:t>
            </w:r>
            <w:r w:rsidRPr="007D2212">
              <w:rPr>
                <w:rFonts w:ascii="Arial" w:hAnsi="Arial" w:cs="Arial"/>
                <w:sz w:val="18"/>
                <w:szCs w:val="18"/>
              </w:rPr>
              <w:t xml:space="preserve"> Committee (SC) added original subject: </w:t>
            </w:r>
            <w:r w:rsidRPr="007D2212">
              <w:rPr>
                <w:rFonts w:ascii="Arial" w:hAnsi="Arial" w:cs="Arial"/>
                <w:i/>
                <w:iCs/>
                <w:sz w:val="18"/>
                <w:szCs w:val="18"/>
              </w:rPr>
              <w:t xml:space="preserve">Bactrocera dorsalis complex </w:t>
            </w:r>
            <w:r w:rsidRPr="007D2212">
              <w:rPr>
                <w:rFonts w:ascii="Arial" w:hAnsi="Arial" w:cs="Arial"/>
                <w:sz w:val="18"/>
                <w:szCs w:val="18"/>
              </w:rPr>
              <w:t>(2006-026)</w:t>
            </w:r>
            <w:r w:rsidR="00291103">
              <w:rPr>
                <w:rFonts w:ascii="Arial" w:hAnsi="Arial" w:cs="Arial"/>
                <w:sz w:val="18"/>
                <w:szCs w:val="18"/>
              </w:rPr>
              <w:t>.</w:t>
            </w:r>
          </w:p>
          <w:p w14:paraId="55965D0D" w14:textId="46018ED4" w:rsidR="00612969" w:rsidRPr="007D2212" w:rsidRDefault="00E97743">
            <w:pPr>
              <w:pStyle w:val="IPPNormal"/>
              <w:spacing w:after="60"/>
              <w:rPr>
                <w:rFonts w:ascii="Arial" w:hAnsi="Arial" w:cs="Arial"/>
                <w:sz w:val="18"/>
                <w:szCs w:val="18"/>
              </w:rPr>
            </w:pPr>
            <w:r w:rsidRPr="007D2212">
              <w:rPr>
                <w:rStyle w:val="PleaseReviewParagraphId"/>
              </w:rPr>
              <w:t>[12]</w:t>
            </w:r>
            <w:r w:rsidRPr="007D2212">
              <w:rPr>
                <w:rFonts w:ascii="Arial" w:hAnsi="Arial" w:cs="Arial"/>
                <w:sz w:val="18"/>
                <w:szCs w:val="18"/>
              </w:rPr>
              <w:t xml:space="preserve">2016-10 </w:t>
            </w:r>
            <w:r w:rsidRPr="007D2212">
              <w:rPr>
                <w:rFonts w:ascii="Arial" w:hAnsi="Arial" w:cs="Arial"/>
                <w:sz w:val="18"/>
                <w:szCs w:val="18"/>
                <w:lang w:eastAsia="de-DE"/>
              </w:rPr>
              <w:t>Expert consultation</w:t>
            </w:r>
            <w:r w:rsidR="00291103">
              <w:rPr>
                <w:rFonts w:ascii="Arial" w:hAnsi="Arial" w:cs="Arial"/>
                <w:sz w:val="18"/>
                <w:szCs w:val="18"/>
                <w:lang w:eastAsia="de-DE"/>
              </w:rPr>
              <w:t>.</w:t>
            </w:r>
          </w:p>
          <w:p w14:paraId="047CA0CE" w14:textId="44D131B5" w:rsidR="00612969" w:rsidRPr="007D2212" w:rsidRDefault="00E97743">
            <w:pPr>
              <w:pStyle w:val="IPPNormal"/>
              <w:spacing w:after="60"/>
              <w:rPr>
                <w:rFonts w:ascii="Arial" w:hAnsi="Arial" w:cs="Arial"/>
                <w:sz w:val="18"/>
                <w:szCs w:val="18"/>
                <w:lang w:eastAsia="de-DE"/>
              </w:rPr>
            </w:pPr>
            <w:r w:rsidRPr="007D2212">
              <w:rPr>
                <w:rStyle w:val="PleaseReviewParagraphId"/>
              </w:rPr>
              <w:t>[13]</w:t>
            </w:r>
            <w:r w:rsidRPr="007D2212">
              <w:rPr>
                <w:rFonts w:ascii="Arial" w:hAnsi="Arial" w:cs="Arial"/>
                <w:sz w:val="18"/>
                <w:szCs w:val="18"/>
                <w:lang w:eastAsia="de-DE"/>
              </w:rPr>
              <w:t>2017-02 Technical Panel on Diagnostic Protocols (TPDP) review</w:t>
            </w:r>
            <w:r w:rsidR="00291103">
              <w:rPr>
                <w:rFonts w:ascii="Arial" w:hAnsi="Arial" w:cs="Arial"/>
                <w:sz w:val="18"/>
                <w:szCs w:val="18"/>
                <w:lang w:eastAsia="de-DE"/>
              </w:rPr>
              <w:t>.</w:t>
            </w:r>
          </w:p>
          <w:p w14:paraId="3C31B396" w14:textId="286CCCAA" w:rsidR="00612969" w:rsidRPr="007D2212" w:rsidRDefault="00E97743">
            <w:pPr>
              <w:pStyle w:val="IPPNormal"/>
              <w:spacing w:after="60"/>
              <w:rPr>
                <w:rFonts w:ascii="Arial" w:hAnsi="Arial" w:cs="Arial"/>
                <w:sz w:val="18"/>
                <w:szCs w:val="18"/>
                <w:lang w:eastAsia="de-DE"/>
              </w:rPr>
            </w:pPr>
            <w:r w:rsidRPr="007D2212">
              <w:rPr>
                <w:rStyle w:val="PleaseReviewParagraphId"/>
              </w:rPr>
              <w:t>[14]</w:t>
            </w:r>
            <w:r w:rsidRPr="007D2212">
              <w:rPr>
                <w:rFonts w:ascii="Arial" w:hAnsi="Arial" w:cs="Arial"/>
                <w:sz w:val="18"/>
                <w:szCs w:val="18"/>
                <w:lang w:eastAsia="de-DE"/>
              </w:rPr>
              <w:t>2017-05 TPDP e-decision for consultation</w:t>
            </w:r>
            <w:r w:rsidR="00291103">
              <w:rPr>
                <w:rFonts w:ascii="Arial" w:hAnsi="Arial" w:cs="Arial"/>
                <w:sz w:val="18"/>
                <w:szCs w:val="18"/>
                <w:lang w:eastAsia="de-DE"/>
              </w:rPr>
              <w:t>.</w:t>
            </w:r>
          </w:p>
          <w:p w14:paraId="59C35689" w14:textId="70F45C6A" w:rsidR="00612969" w:rsidRPr="007D2212" w:rsidRDefault="00E97743">
            <w:pPr>
              <w:pStyle w:val="IPPNormal"/>
              <w:spacing w:after="60"/>
              <w:rPr>
                <w:rFonts w:ascii="Arial" w:hAnsi="Arial" w:cs="Arial"/>
                <w:sz w:val="18"/>
                <w:szCs w:val="18"/>
                <w:lang w:eastAsia="de-DE"/>
              </w:rPr>
            </w:pPr>
            <w:r w:rsidRPr="007D2212">
              <w:rPr>
                <w:rStyle w:val="PleaseReviewParagraphId"/>
              </w:rPr>
              <w:t>[15]</w:t>
            </w:r>
            <w:r w:rsidRPr="007D2212">
              <w:rPr>
                <w:rFonts w:ascii="Arial" w:hAnsi="Arial" w:cs="Arial"/>
                <w:sz w:val="18"/>
                <w:szCs w:val="18"/>
                <w:lang w:eastAsia="de-DE"/>
              </w:rPr>
              <w:t>2017-06 SC e-decision for consultation</w:t>
            </w:r>
            <w:r w:rsidR="00291103">
              <w:rPr>
                <w:rFonts w:ascii="Arial" w:hAnsi="Arial" w:cs="Arial"/>
                <w:sz w:val="18"/>
                <w:szCs w:val="18"/>
                <w:lang w:eastAsia="de-DE"/>
              </w:rPr>
              <w:t>.</w:t>
            </w:r>
          </w:p>
          <w:p w14:paraId="35DBA5D4" w14:textId="3CC0C4AF" w:rsidR="00FF5A1A" w:rsidRPr="007D2212" w:rsidRDefault="00FF5A1A">
            <w:pPr>
              <w:pStyle w:val="IPPNormal"/>
              <w:spacing w:after="60"/>
              <w:rPr>
                <w:rFonts w:ascii="Arial" w:hAnsi="Arial" w:cs="Arial"/>
                <w:sz w:val="18"/>
                <w:szCs w:val="18"/>
                <w:lang w:eastAsia="de-DE"/>
              </w:rPr>
            </w:pPr>
            <w:r w:rsidRPr="007D2212">
              <w:rPr>
                <w:rFonts w:ascii="Arial" w:hAnsi="Arial" w:cs="Arial"/>
                <w:sz w:val="18"/>
                <w:szCs w:val="18"/>
                <w:lang w:eastAsia="de-DE"/>
              </w:rPr>
              <w:t>2017-07 First consultation</w:t>
            </w:r>
            <w:r w:rsidR="00291103">
              <w:rPr>
                <w:rFonts w:ascii="Arial" w:hAnsi="Arial" w:cs="Arial"/>
                <w:sz w:val="18"/>
                <w:szCs w:val="18"/>
                <w:lang w:eastAsia="de-DE"/>
              </w:rPr>
              <w:t>.</w:t>
            </w:r>
          </w:p>
          <w:p w14:paraId="6D609351" w14:textId="77777777" w:rsidR="00FF5A1A" w:rsidRDefault="00FF5A1A">
            <w:pPr>
              <w:pStyle w:val="IPPNormal"/>
              <w:spacing w:after="60"/>
              <w:rPr>
                <w:rFonts w:ascii="Arial" w:hAnsi="Arial" w:cs="Arial"/>
                <w:sz w:val="18"/>
                <w:szCs w:val="18"/>
                <w:lang w:eastAsia="de-DE"/>
              </w:rPr>
            </w:pPr>
            <w:r w:rsidRPr="007D2212">
              <w:rPr>
                <w:rFonts w:ascii="Arial" w:hAnsi="Arial" w:cs="Arial"/>
                <w:sz w:val="18"/>
                <w:szCs w:val="18"/>
                <w:lang w:eastAsia="de-DE"/>
              </w:rPr>
              <w:t>2017-11 Reviewed by the lead based on consultation comments</w:t>
            </w:r>
            <w:r w:rsidR="00291103">
              <w:rPr>
                <w:rFonts w:ascii="Arial" w:hAnsi="Arial" w:cs="Arial"/>
                <w:sz w:val="18"/>
                <w:szCs w:val="18"/>
                <w:lang w:eastAsia="de-DE"/>
              </w:rPr>
              <w:t>.</w:t>
            </w:r>
          </w:p>
          <w:p w14:paraId="03D8F42F" w14:textId="77777777" w:rsidR="002421C1" w:rsidRDefault="002421C1">
            <w:pPr>
              <w:pStyle w:val="IPPNormal"/>
              <w:spacing w:after="60"/>
              <w:rPr>
                <w:rFonts w:ascii="Arial" w:hAnsi="Arial" w:cs="Arial"/>
                <w:sz w:val="18"/>
                <w:szCs w:val="18"/>
                <w:lang w:eastAsia="de-DE"/>
              </w:rPr>
            </w:pPr>
            <w:r>
              <w:rPr>
                <w:rFonts w:ascii="Arial" w:hAnsi="Arial" w:cs="Arial"/>
                <w:sz w:val="18"/>
                <w:szCs w:val="18"/>
                <w:lang w:eastAsia="de-DE"/>
              </w:rPr>
              <w:t>2018-02 TPDP meeting.</w:t>
            </w:r>
            <w:r w:rsidR="004F7E07">
              <w:rPr>
                <w:rFonts w:ascii="Arial" w:hAnsi="Arial" w:cs="Arial"/>
                <w:sz w:val="18"/>
                <w:szCs w:val="18"/>
                <w:lang w:eastAsia="de-DE"/>
              </w:rPr>
              <w:t xml:space="preserve"> TPDP approved to submit to SC for approval for adoption.</w:t>
            </w:r>
          </w:p>
          <w:p w14:paraId="46758A9C" w14:textId="3124DFA7" w:rsidR="002644AB" w:rsidRPr="007D2212" w:rsidRDefault="002644AB" w:rsidP="002644AB">
            <w:pPr>
              <w:pStyle w:val="IPPNormal"/>
              <w:spacing w:after="60"/>
            </w:pPr>
            <w:r>
              <w:rPr>
                <w:rFonts w:ascii="Arial" w:hAnsi="Arial" w:cs="Arial"/>
                <w:sz w:val="18"/>
                <w:szCs w:val="18"/>
                <w:lang w:eastAsia="de-DE"/>
              </w:rPr>
              <w:t xml:space="preserve">2018-03 </w:t>
            </w:r>
            <w:r w:rsidRPr="00A5201C">
              <w:rPr>
                <w:rFonts w:ascii="Arial" w:hAnsi="Arial"/>
                <w:sz w:val="18"/>
                <w:szCs w:val="18"/>
              </w:rPr>
              <w:t xml:space="preserve"> </w:t>
            </w:r>
            <w:r w:rsidRPr="00A5201C">
              <w:rPr>
                <w:rFonts w:ascii="Arial" w:hAnsi="Arial"/>
                <w:sz w:val="18"/>
                <w:szCs w:val="18"/>
              </w:rPr>
              <w:t>SC approved for the DP notification period (</w:t>
            </w:r>
            <w:r>
              <w:rPr>
                <w:rFonts w:ascii="Arial" w:hAnsi="Arial"/>
                <w:sz w:val="18"/>
                <w:szCs w:val="18"/>
              </w:rPr>
              <w:t xml:space="preserve">e-decision </w:t>
            </w:r>
            <w:r w:rsidRPr="00A5201C">
              <w:rPr>
                <w:rFonts w:ascii="Arial" w:hAnsi="Arial"/>
                <w:sz w:val="18"/>
                <w:szCs w:val="18"/>
              </w:rPr>
              <w:t>201</w:t>
            </w:r>
            <w:r>
              <w:rPr>
                <w:rFonts w:ascii="Arial" w:hAnsi="Arial"/>
                <w:sz w:val="18"/>
                <w:szCs w:val="18"/>
              </w:rPr>
              <w:t>8</w:t>
            </w:r>
            <w:r w:rsidRPr="00A5201C">
              <w:rPr>
                <w:rFonts w:ascii="Arial" w:hAnsi="Arial"/>
                <w:sz w:val="18"/>
                <w:szCs w:val="18"/>
              </w:rPr>
              <w:t>_eSC_May_</w:t>
            </w:r>
            <w:r>
              <w:rPr>
                <w:rFonts w:ascii="Arial" w:hAnsi="Arial"/>
                <w:sz w:val="18"/>
                <w:szCs w:val="18"/>
              </w:rPr>
              <w:t>06</w:t>
            </w:r>
            <w:r w:rsidRPr="00A5201C">
              <w:rPr>
                <w:rFonts w:ascii="Arial" w:hAnsi="Arial"/>
                <w:sz w:val="18"/>
                <w:szCs w:val="18"/>
              </w:rPr>
              <w:t>)</w:t>
            </w:r>
          </w:p>
        </w:tc>
      </w:tr>
      <w:tr w:rsidR="00612969" w:rsidRPr="007D2212" w14:paraId="1414F9AA" w14:textId="77777777">
        <w:trPr>
          <w:trHeight w:val="134"/>
          <w:tblCellSpacing w:w="7" w:type="dxa"/>
        </w:trPr>
        <w:tc>
          <w:tcPr>
            <w:tcW w:w="3062" w:type="dxa"/>
            <w:tcBorders>
              <w:top w:val="outset" w:sz="6" w:space="0" w:color="00000A"/>
              <w:bottom w:val="outset" w:sz="6" w:space="0" w:color="00000A"/>
              <w:right w:val="outset" w:sz="6" w:space="0" w:color="00000A"/>
            </w:tcBorders>
          </w:tcPr>
          <w:p w14:paraId="677B3A79" w14:textId="77777777" w:rsidR="00612969" w:rsidRPr="007D2212" w:rsidRDefault="00E97743">
            <w:pPr>
              <w:pStyle w:val="IPPArialTable"/>
              <w:rPr>
                <w:b/>
              </w:rPr>
            </w:pPr>
            <w:r w:rsidRPr="007D2212">
              <w:rPr>
                <w:rStyle w:val="PleaseReviewParagraphId"/>
              </w:rPr>
              <w:t>[16]</w:t>
            </w:r>
            <w:r w:rsidRPr="007D2212">
              <w:rPr>
                <w:b/>
              </w:rPr>
              <w:t>Discipline leads history</w:t>
            </w:r>
          </w:p>
        </w:tc>
        <w:tc>
          <w:tcPr>
            <w:tcW w:w="6134" w:type="dxa"/>
            <w:tcBorders>
              <w:top w:val="outset" w:sz="6" w:space="0" w:color="00000A"/>
              <w:left w:val="outset" w:sz="6" w:space="0" w:color="00000A"/>
              <w:bottom w:val="outset" w:sz="6" w:space="0" w:color="00000A"/>
            </w:tcBorders>
          </w:tcPr>
          <w:p w14:paraId="3A182025" w14:textId="313E1D10" w:rsidR="00612969" w:rsidRDefault="00E97743">
            <w:pPr>
              <w:pStyle w:val="IPPArialTable"/>
            </w:pPr>
            <w:r w:rsidRPr="007D2212">
              <w:rPr>
                <w:rStyle w:val="PleaseReviewParagraphId"/>
              </w:rPr>
              <w:t>[17]</w:t>
            </w:r>
            <w:r w:rsidRPr="007D2212">
              <w:t>2012-2016 Norman BARR (US</w:t>
            </w:r>
            <w:r w:rsidR="002421C1">
              <w:t>, Discipline lead</w:t>
            </w:r>
            <w:r w:rsidRPr="007D2212">
              <w:t xml:space="preserve">) </w:t>
            </w:r>
          </w:p>
          <w:p w14:paraId="7D7F34AE" w14:textId="77CF25E9" w:rsidR="002421C1" w:rsidRPr="007D2212" w:rsidRDefault="002421C1">
            <w:pPr>
              <w:pStyle w:val="IPPArialTable"/>
            </w:pPr>
            <w:r>
              <w:t xml:space="preserve">2014-11  </w:t>
            </w:r>
            <w:r w:rsidRPr="002421C1">
              <w:t>Juliet GOLDSMITH</w:t>
            </w:r>
            <w:r>
              <w:t xml:space="preserve"> (JM, Referee)</w:t>
            </w:r>
          </w:p>
        </w:tc>
      </w:tr>
      <w:tr w:rsidR="00612969" w:rsidRPr="007D2212" w14:paraId="6DED32F2" w14:textId="77777777">
        <w:trPr>
          <w:trHeight w:val="696"/>
          <w:tblCellSpacing w:w="7" w:type="dxa"/>
        </w:trPr>
        <w:tc>
          <w:tcPr>
            <w:tcW w:w="3062" w:type="dxa"/>
            <w:tcBorders>
              <w:top w:val="outset" w:sz="6" w:space="0" w:color="00000A"/>
              <w:bottom w:val="outset" w:sz="6" w:space="0" w:color="00000A"/>
              <w:right w:val="outset" w:sz="6" w:space="0" w:color="00000A"/>
            </w:tcBorders>
          </w:tcPr>
          <w:p w14:paraId="03BAAB61" w14:textId="77777777" w:rsidR="00612969" w:rsidRPr="007D2212" w:rsidRDefault="00E97743">
            <w:pPr>
              <w:pStyle w:val="IPPArialTable"/>
              <w:rPr>
                <w:b/>
              </w:rPr>
            </w:pPr>
            <w:r w:rsidRPr="007D2212">
              <w:rPr>
                <w:rStyle w:val="PleaseReviewParagraphId"/>
              </w:rPr>
              <w:t>[18]</w:t>
            </w:r>
            <w:r w:rsidRPr="007D2212">
              <w:rPr>
                <w:b/>
              </w:rPr>
              <w:t>Consultation on technical level</w:t>
            </w:r>
          </w:p>
        </w:tc>
        <w:tc>
          <w:tcPr>
            <w:tcW w:w="6134" w:type="dxa"/>
            <w:tcBorders>
              <w:top w:val="outset" w:sz="6" w:space="0" w:color="00000A"/>
              <w:left w:val="outset" w:sz="6" w:space="0" w:color="00000A"/>
              <w:bottom w:val="outset" w:sz="6" w:space="0" w:color="00000A"/>
            </w:tcBorders>
          </w:tcPr>
          <w:p w14:paraId="2B4D59B1" w14:textId="77777777" w:rsidR="00612969" w:rsidRPr="007D2212" w:rsidRDefault="00E97743">
            <w:pPr>
              <w:pStyle w:val="IPPArialTable"/>
            </w:pPr>
            <w:r w:rsidRPr="007D2212">
              <w:rPr>
                <w:rStyle w:val="PleaseReviewParagraphId"/>
              </w:rPr>
              <w:t>[19]</w:t>
            </w:r>
            <w:r w:rsidRPr="007D2212">
              <w:t xml:space="preserve">The first draft of this protocol was written by (lead author and DP drafting group): </w:t>
            </w:r>
          </w:p>
          <w:p w14:paraId="5176B0A5" w14:textId="77777777" w:rsidR="00612969" w:rsidRPr="007D2212" w:rsidRDefault="00E97743">
            <w:pPr>
              <w:pStyle w:val="IPPArialTable"/>
            </w:pPr>
            <w:r w:rsidRPr="007D2212">
              <w:rPr>
                <w:rStyle w:val="PleaseReviewParagraphId"/>
              </w:rPr>
              <w:t>[20]</w:t>
            </w:r>
            <w:r w:rsidRPr="007D2212">
              <w:t>Mr</w:t>
            </w:r>
            <w:r w:rsidRPr="007D2212">
              <w:rPr>
                <w:rFonts w:eastAsiaTheme="minorEastAsia"/>
                <w:lang w:eastAsia="ja-JP"/>
              </w:rPr>
              <w:t xml:space="preserve"> </w:t>
            </w:r>
            <w:r w:rsidRPr="007D2212">
              <w:rPr>
                <w:rFonts w:eastAsia="Times New Roman"/>
                <w:kern w:val="2"/>
                <w:lang w:eastAsia="ja-JP"/>
              </w:rPr>
              <w:t>Kenji</w:t>
            </w:r>
            <w:r w:rsidRPr="007D2212">
              <w:rPr>
                <w:rFonts w:eastAsiaTheme="minorEastAsia"/>
                <w:kern w:val="2"/>
                <w:lang w:eastAsia="ja-JP"/>
              </w:rPr>
              <w:t xml:space="preserve"> TSURUTA</w:t>
            </w:r>
            <w:r w:rsidRPr="007D2212">
              <w:t xml:space="preserve"> (JA) (lead author)</w:t>
            </w:r>
          </w:p>
          <w:p w14:paraId="51637F82" w14:textId="77777777" w:rsidR="00612969" w:rsidRPr="007D2212" w:rsidRDefault="00E97743">
            <w:pPr>
              <w:pStyle w:val="IPPArialTable"/>
            </w:pPr>
            <w:r w:rsidRPr="007D2212">
              <w:rPr>
                <w:rStyle w:val="PleaseReviewParagraphId"/>
              </w:rPr>
              <w:t>[21]</w:t>
            </w:r>
            <w:r w:rsidRPr="007D2212">
              <w:t>Mr</w:t>
            </w:r>
            <w:r w:rsidRPr="007D2212">
              <w:rPr>
                <w:rFonts w:eastAsiaTheme="minorEastAsia"/>
                <w:lang w:eastAsia="ja-JP"/>
              </w:rPr>
              <w:t xml:space="preserve"> </w:t>
            </w:r>
            <w:r w:rsidRPr="007D2212">
              <w:rPr>
                <w:rFonts w:eastAsia="Times New Roman"/>
                <w:kern w:val="2"/>
                <w:lang w:eastAsia="ja-JP"/>
              </w:rPr>
              <w:t>Sujinda</w:t>
            </w:r>
            <w:r w:rsidRPr="007D2212">
              <w:rPr>
                <w:rFonts w:eastAsiaTheme="minorEastAsia"/>
                <w:kern w:val="2"/>
                <w:lang w:eastAsia="ja-JP"/>
              </w:rPr>
              <w:t xml:space="preserve"> THANAPHUM </w:t>
            </w:r>
            <w:r w:rsidRPr="007D2212">
              <w:t>(TH)</w:t>
            </w:r>
          </w:p>
          <w:p w14:paraId="711F88B2" w14:textId="77777777" w:rsidR="00612969" w:rsidRPr="007D2212" w:rsidRDefault="00E97743">
            <w:pPr>
              <w:pStyle w:val="IPPArialTable"/>
            </w:pPr>
            <w:r w:rsidRPr="007D2212">
              <w:rPr>
                <w:rStyle w:val="PleaseReviewParagraphId"/>
              </w:rPr>
              <w:t>[22]</w:t>
            </w:r>
            <w:r w:rsidRPr="007D2212">
              <w:t>Mr Luc LEBLANC (US)</w:t>
            </w:r>
          </w:p>
          <w:p w14:paraId="61CC1923" w14:textId="77777777" w:rsidR="00612969" w:rsidRPr="007D2212" w:rsidRDefault="00E97743">
            <w:pPr>
              <w:pStyle w:val="IPPArialTable"/>
              <w:rPr>
                <w:lang w:eastAsia="zh-CN"/>
              </w:rPr>
            </w:pPr>
            <w:r w:rsidRPr="007D2212">
              <w:rPr>
                <w:rStyle w:val="PleaseReviewParagraphId"/>
              </w:rPr>
              <w:t>[23]</w:t>
            </w:r>
            <w:bookmarkStart w:id="1" w:name="_Toc413933418"/>
            <w:r w:rsidRPr="007D2212">
              <w:rPr>
                <w:lang w:eastAsia="zh-CN"/>
              </w:rPr>
              <w:t>In addition, the draft has also been subject to expert review and the following international experts submitted comments:</w:t>
            </w:r>
            <w:bookmarkEnd w:id="1"/>
            <w:r w:rsidRPr="007D2212">
              <w:rPr>
                <w:lang w:eastAsia="zh-CN"/>
              </w:rPr>
              <w:t xml:space="preserve"> </w:t>
            </w:r>
            <w:r w:rsidRPr="007D2212">
              <w:rPr>
                <w:lang w:eastAsia="ja-JP"/>
              </w:rPr>
              <w:t>Jane Royer (AU), Mark Schutze (AU), Josephine Moraa Songa (KE), George Momanyi (KE), Sharon Reid (GB), Yuji Kitabara (JA), Ken Hong Tan (MY), Alvin Hee (MY), Eddy Dijstra (NL) and Elizabeth Minchinton (AU).</w:t>
            </w:r>
            <w:r w:rsidRPr="007D2212">
              <w:rPr>
                <w:lang w:eastAsia="zh-CN"/>
              </w:rPr>
              <w:t xml:space="preserve">  </w:t>
            </w:r>
          </w:p>
        </w:tc>
      </w:tr>
      <w:tr w:rsidR="00612969" w:rsidRPr="007D2212" w14:paraId="074C5C7C" w14:textId="77777777">
        <w:trPr>
          <w:tblCellSpacing w:w="7" w:type="dxa"/>
        </w:trPr>
        <w:tc>
          <w:tcPr>
            <w:tcW w:w="3062" w:type="dxa"/>
            <w:tcBorders>
              <w:top w:val="outset" w:sz="6" w:space="0" w:color="00000A"/>
              <w:bottom w:val="outset" w:sz="6" w:space="0" w:color="00000A"/>
              <w:right w:val="outset" w:sz="6" w:space="0" w:color="00000A"/>
            </w:tcBorders>
          </w:tcPr>
          <w:p w14:paraId="3FC868F2" w14:textId="77777777" w:rsidR="00612969" w:rsidRPr="007D2212" w:rsidRDefault="00E97743">
            <w:pPr>
              <w:pStyle w:val="IPPArialTable"/>
              <w:rPr>
                <w:b/>
              </w:rPr>
            </w:pPr>
            <w:r w:rsidRPr="007D2212">
              <w:rPr>
                <w:rStyle w:val="PleaseReviewParagraphId"/>
              </w:rPr>
              <w:t>[24]</w:t>
            </w:r>
            <w:r w:rsidRPr="007D2212">
              <w:rPr>
                <w:b/>
              </w:rPr>
              <w:t>Main discussion points on during the development of the diagnostic protocol</w:t>
            </w:r>
          </w:p>
        </w:tc>
        <w:tc>
          <w:tcPr>
            <w:tcW w:w="6134" w:type="dxa"/>
            <w:tcBorders>
              <w:top w:val="outset" w:sz="6" w:space="0" w:color="00000A"/>
              <w:left w:val="outset" w:sz="6" w:space="0" w:color="00000A"/>
              <w:bottom w:val="outset" w:sz="6" w:space="0" w:color="00000A"/>
            </w:tcBorders>
          </w:tcPr>
          <w:p w14:paraId="066EEFA6" w14:textId="323E4252" w:rsidR="00612969" w:rsidRPr="007D2212" w:rsidRDefault="00E97743">
            <w:pPr>
              <w:pStyle w:val="IPPArialTable"/>
            </w:pPr>
            <w:r w:rsidRPr="007D2212">
              <w:rPr>
                <w:rStyle w:val="PleaseReviewParagraphId"/>
              </w:rPr>
              <w:t>[25]</w:t>
            </w:r>
          </w:p>
          <w:p w14:paraId="68EC5DB6" w14:textId="729E133A" w:rsidR="00612969" w:rsidRPr="007D2212" w:rsidRDefault="00E97743">
            <w:pPr>
              <w:pStyle w:val="IPPArialTable"/>
            </w:pPr>
            <w:r w:rsidRPr="007D2212">
              <w:rPr>
                <w:rStyle w:val="PleaseReviewParagraphId"/>
              </w:rPr>
              <w:t>[26]</w:t>
            </w:r>
            <w:r w:rsidRPr="007D2212">
              <w:t>This diagnostic protocol</w:t>
            </w:r>
            <w:r w:rsidRPr="007D2212">
              <w:rPr>
                <w:rFonts w:eastAsiaTheme="minorEastAsia"/>
                <w:lang w:eastAsia="ja-JP"/>
              </w:rPr>
              <w:t xml:space="preserve"> </w:t>
            </w:r>
            <w:r w:rsidRPr="007D2212">
              <w:t xml:space="preserve">has been placed in pending status for several years because of concurrent studies to revise the taxonomy of </w:t>
            </w:r>
            <w:r w:rsidRPr="007D2212">
              <w:rPr>
                <w:i/>
              </w:rPr>
              <w:t>B. dorsalis</w:t>
            </w:r>
            <w:r w:rsidRPr="007D2212">
              <w:t xml:space="preserve"> and close relatives. A 201</w:t>
            </w:r>
            <w:r w:rsidRPr="007D2212">
              <w:rPr>
                <w:rFonts w:eastAsiaTheme="minorEastAsia"/>
                <w:lang w:eastAsia="ja-JP"/>
              </w:rPr>
              <w:t>5</w:t>
            </w:r>
            <w:r w:rsidRPr="007D2212">
              <w:t xml:space="preserve"> publication created synonyms for several pest species. This revision is still not accepted by all experts. Recent publication</w:t>
            </w:r>
            <w:r w:rsidR="005F1A6B">
              <w:t>s</w:t>
            </w:r>
            <w:r w:rsidRPr="007D2212">
              <w:t xml:space="preserve"> in 2016 </w:t>
            </w:r>
            <w:r w:rsidR="001A7CAA" w:rsidRPr="007D2212">
              <w:t xml:space="preserve">and 2017 </w:t>
            </w:r>
            <w:r w:rsidRPr="007D2212">
              <w:t>argue against revision.</w:t>
            </w:r>
          </w:p>
          <w:p w14:paraId="4ED407FA" w14:textId="77777777" w:rsidR="00612969" w:rsidRPr="007D2212" w:rsidRDefault="00E97743">
            <w:pPr>
              <w:pStyle w:val="IPPArialTable"/>
            </w:pPr>
            <w:r w:rsidRPr="007D2212">
              <w:rPr>
                <w:rStyle w:val="PleaseReviewParagraphId"/>
              </w:rPr>
              <w:t>[27]</w:t>
            </w:r>
            <w:r w:rsidRPr="007D2212">
              <w:t xml:space="preserve">There has been confusion in scope because of use of </w:t>
            </w:r>
            <w:r w:rsidRPr="007D2212">
              <w:rPr>
                <w:i/>
              </w:rPr>
              <w:t>Bactrocera dorsalis</w:t>
            </w:r>
            <w:r w:rsidRPr="007D2212">
              <w:t xml:space="preserve"> in the name of the </w:t>
            </w:r>
            <w:r w:rsidRPr="007D2212">
              <w:rPr>
                <w:i/>
              </w:rPr>
              <w:t>B. dorsalis</w:t>
            </w:r>
            <w:r w:rsidRPr="007D2212">
              <w:t xml:space="preserve"> complex and the </w:t>
            </w:r>
            <w:r w:rsidRPr="007D2212">
              <w:rPr>
                <w:i/>
              </w:rPr>
              <w:t>B. dorsalis</w:t>
            </w:r>
            <w:r w:rsidRPr="007D2212">
              <w:t xml:space="preserve"> sibling species complex. The </w:t>
            </w:r>
            <w:r w:rsidRPr="007D2212">
              <w:rPr>
                <w:i/>
              </w:rPr>
              <w:t>B. dorsalis</w:t>
            </w:r>
            <w:r w:rsidRPr="007D2212">
              <w:t xml:space="preserve"> complex is not a true evolutionary unit and to make it useful in screening major pests a redefinition according to Schutze </w:t>
            </w:r>
            <w:r w:rsidRPr="007D2212">
              <w:rPr>
                <w:i/>
              </w:rPr>
              <w:t>et al.</w:t>
            </w:r>
            <w:r w:rsidRPr="007D2212">
              <w:t xml:space="preserve"> (2015a) has been included.</w:t>
            </w:r>
          </w:p>
          <w:p w14:paraId="3742DB23" w14:textId="5CF37D6C" w:rsidR="00612969" w:rsidRPr="007D2212" w:rsidRDefault="00E97743">
            <w:pPr>
              <w:pStyle w:val="IPPArialTable"/>
            </w:pPr>
            <w:r w:rsidRPr="007D2212">
              <w:rPr>
                <w:rStyle w:val="PleaseReviewParagraphId"/>
              </w:rPr>
              <w:t>[28]</w:t>
            </w:r>
            <w:r w:rsidRPr="007D2212">
              <w:t xml:space="preserve">Given that a new classification has been proposed but not adopted by all experts, </w:t>
            </w:r>
            <w:r w:rsidR="001A7CAA" w:rsidRPr="007D2212">
              <w:t xml:space="preserve">an explanation of the </w:t>
            </w:r>
            <w:r w:rsidRPr="007D2212">
              <w:t xml:space="preserve">synonyms </w:t>
            </w:r>
            <w:r w:rsidR="001A7CAA" w:rsidRPr="007D2212">
              <w:t xml:space="preserve">and counterarguments </w:t>
            </w:r>
            <w:r w:rsidR="00540B54">
              <w:t>are</w:t>
            </w:r>
            <w:r w:rsidR="001A7CAA" w:rsidRPr="007D2212">
              <w:t xml:space="preserve"> provided</w:t>
            </w:r>
            <w:r w:rsidRPr="007D2212">
              <w:t xml:space="preserve">. As IPPC is supposed to develop DPs for recognized species, the DP is not intended to instruct on revision debates. </w:t>
            </w:r>
          </w:p>
          <w:p w14:paraId="1ADD94F9" w14:textId="77777777" w:rsidR="00612969" w:rsidRPr="007D2212" w:rsidRDefault="00E97743">
            <w:pPr>
              <w:pStyle w:val="IPPArialTable"/>
            </w:pPr>
            <w:r w:rsidRPr="007D2212">
              <w:rPr>
                <w:rStyle w:val="PleaseReviewParagraphId"/>
              </w:rPr>
              <w:lastRenderedPageBreak/>
              <w:t>[29]</w:t>
            </w:r>
            <w:r w:rsidRPr="007D2212">
              <w:t xml:space="preserve">Larval morphology information has been removed as it is not reliable for diagnosis of flies to the complex or species levels.  </w:t>
            </w:r>
          </w:p>
          <w:p w14:paraId="41A8E455" w14:textId="77777777" w:rsidR="00612969" w:rsidRPr="007D2212" w:rsidRDefault="00E97743">
            <w:pPr>
              <w:pStyle w:val="IPPArialTable"/>
            </w:pPr>
            <w:r w:rsidRPr="007D2212">
              <w:rPr>
                <w:rStyle w:val="PleaseReviewParagraphId"/>
              </w:rPr>
              <w:t>[30</w:t>
            </w:r>
            <w:r w:rsidRPr="005F1A6B">
              <w:rPr>
                <w:rStyle w:val="PleaseReviewParagraphId"/>
              </w:rPr>
              <w:t>]</w:t>
            </w:r>
            <w:r w:rsidRPr="00EC752D">
              <w:t>Footnotes and brand names (based on SC decision and according to TPDP instruction to authors): If in the DP there is more than one mention to a brand name, the second mention (and the sub sequential mentions) to a brand name shall be associated with the footnote number with the full text (e.g. if the first mention to a brand name is “footnote 1”, the subsequent mentions to brand names should be accompanied by the same footnote number).</w:t>
            </w:r>
          </w:p>
        </w:tc>
      </w:tr>
      <w:tr w:rsidR="00612969" w:rsidRPr="007D2212" w14:paraId="42A43920" w14:textId="77777777">
        <w:trPr>
          <w:trHeight w:val="22"/>
          <w:tblCellSpacing w:w="7" w:type="dxa"/>
        </w:trPr>
        <w:tc>
          <w:tcPr>
            <w:tcW w:w="3062" w:type="dxa"/>
            <w:tcBorders>
              <w:top w:val="outset" w:sz="6" w:space="0" w:color="00000A"/>
              <w:bottom w:val="outset" w:sz="6" w:space="0" w:color="00000A"/>
              <w:right w:val="outset" w:sz="6" w:space="0" w:color="00000A"/>
            </w:tcBorders>
          </w:tcPr>
          <w:p w14:paraId="1784BF17" w14:textId="77777777" w:rsidR="00612969" w:rsidRPr="007D2212" w:rsidRDefault="00E97743">
            <w:pPr>
              <w:pStyle w:val="IPPArialTable"/>
              <w:rPr>
                <w:b/>
              </w:rPr>
            </w:pPr>
            <w:r w:rsidRPr="007D2212">
              <w:rPr>
                <w:rStyle w:val="PleaseReviewParagraphId"/>
              </w:rPr>
              <w:lastRenderedPageBreak/>
              <w:t>[31]</w:t>
            </w:r>
            <w:r w:rsidRPr="007D2212">
              <w:rPr>
                <w:b/>
              </w:rPr>
              <w:t>Notes</w:t>
            </w:r>
          </w:p>
        </w:tc>
        <w:tc>
          <w:tcPr>
            <w:tcW w:w="6134" w:type="dxa"/>
            <w:tcBorders>
              <w:top w:val="outset" w:sz="6" w:space="0" w:color="00000A"/>
              <w:left w:val="outset" w:sz="6" w:space="0" w:color="00000A"/>
              <w:bottom w:val="outset" w:sz="6" w:space="0" w:color="00000A"/>
            </w:tcBorders>
          </w:tcPr>
          <w:p w14:paraId="5AA3981E" w14:textId="77777777" w:rsidR="00612969" w:rsidRPr="007D2212" w:rsidRDefault="00E97743">
            <w:pPr>
              <w:pStyle w:val="IPPArialTable"/>
            </w:pPr>
            <w:r w:rsidRPr="007D2212">
              <w:rPr>
                <w:rStyle w:val="PleaseReviewParagraphId"/>
              </w:rPr>
              <w:t>[32]</w:t>
            </w:r>
            <w:r w:rsidRPr="007D2212">
              <w:t>This is a draft document. The final formatting will be adjusted at a later stage.</w:t>
            </w:r>
          </w:p>
          <w:p w14:paraId="510F8AAB" w14:textId="3F38C919" w:rsidR="00612969" w:rsidRDefault="00E97743">
            <w:pPr>
              <w:pStyle w:val="IPPArialTable"/>
              <w:rPr>
                <w:color w:val="333333"/>
              </w:rPr>
            </w:pPr>
            <w:r w:rsidRPr="007D2212">
              <w:rPr>
                <w:rStyle w:val="PleaseReviewParagraphId"/>
              </w:rPr>
              <w:t>[33]</w:t>
            </w:r>
            <w:r w:rsidRPr="007D2212">
              <w:rPr>
                <w:color w:val="333333"/>
              </w:rPr>
              <w:t>2017-04 Edited</w:t>
            </w:r>
          </w:p>
          <w:p w14:paraId="0087A8CA" w14:textId="78EAAEBE" w:rsidR="00F0496F" w:rsidRDefault="00F0496F">
            <w:pPr>
              <w:pStyle w:val="IPPArialTable"/>
              <w:rPr>
                <w:color w:val="333333"/>
              </w:rPr>
            </w:pPr>
            <w:r>
              <w:rPr>
                <w:color w:val="333333"/>
              </w:rPr>
              <w:t>2017-12 Edited</w:t>
            </w:r>
          </w:p>
          <w:p w14:paraId="5E3EBA77" w14:textId="1D64A6FC" w:rsidR="004F7E07" w:rsidRPr="007D2212" w:rsidRDefault="004F7E07">
            <w:pPr>
              <w:pStyle w:val="IPPArialTable"/>
              <w:rPr>
                <w:color w:val="333333"/>
              </w:rPr>
            </w:pPr>
            <w:r>
              <w:rPr>
                <w:color w:val="333333"/>
              </w:rPr>
              <w:t>2018-02 Edited</w:t>
            </w:r>
          </w:p>
          <w:p w14:paraId="5C479ECE" w14:textId="77777777" w:rsidR="00612969" w:rsidRPr="007D2212" w:rsidRDefault="00E97743">
            <w:pPr>
              <w:pStyle w:val="IPPArialTable"/>
              <w:rPr>
                <w:color w:val="333333"/>
              </w:rPr>
            </w:pPr>
            <w:r w:rsidRPr="007D2212">
              <w:rPr>
                <w:rStyle w:val="PleaseReviewParagraphId"/>
              </w:rPr>
              <w:t>[34]</w:t>
            </w:r>
            <w:r w:rsidRPr="007D2212">
              <w:rPr>
                <w:rFonts w:cs="Arial"/>
                <w:b/>
                <w:color w:val="FF0000"/>
                <w:szCs w:val="18"/>
              </w:rPr>
              <w:t>Please note that some paragraph numbers may be missing from the document or not be in a chronological order. This is due to technical problems in the OCS but it does not affect the integrity of the content of the document.</w:t>
            </w:r>
          </w:p>
        </w:tc>
      </w:tr>
    </w:tbl>
    <w:p w14:paraId="313056DE" w14:textId="77777777" w:rsidR="00612969" w:rsidRPr="007D2212" w:rsidRDefault="00E97743">
      <w:pPr>
        <w:pStyle w:val="IPPNormal"/>
        <w:spacing w:before="480"/>
        <w:rPr>
          <w:b/>
          <w:bCs/>
        </w:rPr>
      </w:pPr>
      <w:r w:rsidRPr="007D2212">
        <w:rPr>
          <w:rStyle w:val="PleaseReviewParagraphId"/>
        </w:rPr>
        <w:t>[35]</w:t>
      </w:r>
      <w:r w:rsidRPr="007D2212">
        <w:rPr>
          <w:b/>
          <w:bCs/>
        </w:rPr>
        <w:t>Adoption</w:t>
      </w:r>
    </w:p>
    <w:p w14:paraId="26815F1D" w14:textId="041F6F15" w:rsidR="00612969" w:rsidRPr="007D2212" w:rsidRDefault="00E97743">
      <w:pPr>
        <w:pStyle w:val="IPPNormal"/>
      </w:pPr>
      <w:r w:rsidRPr="007D2212">
        <w:rPr>
          <w:rStyle w:val="PleaseReviewParagraphId"/>
        </w:rPr>
        <w:t>[36]</w:t>
      </w:r>
      <w:r w:rsidRPr="007D2212">
        <w:t xml:space="preserve">This diagnostic protocol was adopted by the Standards Committee on behalf of the Commission on Phytosanitary Measures in </w:t>
      </w:r>
      <w:r w:rsidR="009B246F">
        <w:t>--</w:t>
      </w:r>
      <w:r w:rsidRPr="007D2212">
        <w:t xml:space="preserve">-- </w:t>
      </w:r>
      <w:r w:rsidRPr="007D2212">
        <w:rPr>
          <w:lang w:eastAsia="zh-CN"/>
        </w:rPr>
        <w:t>[to be completed after adoption]</w:t>
      </w:r>
      <w:r w:rsidRPr="007D2212">
        <w:t>.</w:t>
      </w:r>
    </w:p>
    <w:p w14:paraId="4C2A948E" w14:textId="61A5C5DC" w:rsidR="00612969" w:rsidRPr="007D2212" w:rsidRDefault="00E97743">
      <w:pPr>
        <w:pStyle w:val="IPPNormal"/>
      </w:pPr>
      <w:r w:rsidRPr="007D2212">
        <w:rPr>
          <w:rStyle w:val="PleaseReviewParagraphId"/>
        </w:rPr>
        <w:t>[37]</w:t>
      </w:r>
      <w:r w:rsidRPr="007D2212">
        <w:t>The annex is a prescriptive part of ISPM 27.</w:t>
      </w:r>
    </w:p>
    <w:p w14:paraId="1891EE32" w14:textId="77777777" w:rsidR="00612969" w:rsidRPr="007D2212" w:rsidRDefault="00E97743">
      <w:pPr>
        <w:pStyle w:val="IPPHeading1"/>
      </w:pPr>
      <w:r w:rsidRPr="007D2212">
        <w:rPr>
          <w:rStyle w:val="PleaseReviewParagraphId"/>
          <w:b w:val="0"/>
        </w:rPr>
        <w:t>[38]</w:t>
      </w:r>
      <w:r w:rsidRPr="007D2212">
        <w:t>1.</w:t>
      </w:r>
      <w:r w:rsidRPr="007D2212">
        <w:tab/>
        <w:t>Pest Information</w:t>
      </w:r>
    </w:p>
    <w:p w14:paraId="316BA924" w14:textId="355482C5" w:rsidR="00612969" w:rsidRPr="007D2212" w:rsidRDefault="00E97743">
      <w:pPr>
        <w:pStyle w:val="IPPNormal"/>
      </w:pPr>
      <w:r w:rsidRPr="007D2212">
        <w:rPr>
          <w:rStyle w:val="PleaseReviewParagraphId"/>
        </w:rPr>
        <w:t>[39]</w:t>
      </w:r>
      <w:r w:rsidRPr="007D2212">
        <w:t xml:space="preserve">Fruit flies of the family Tephritidae represent an economically important insect group with a worldwide distribution. The biology of these fruit flies is dependent on host plants that can serve as mating locations, oviposition sites for eggs, and nutrient resources for developing larvae. The genus </w:t>
      </w:r>
      <w:r w:rsidRPr="007D2212">
        <w:rPr>
          <w:i/>
        </w:rPr>
        <w:t>Bactrocera</w:t>
      </w:r>
      <w:r w:rsidRPr="00A4522D">
        <w:rPr>
          <w:rFonts w:eastAsiaTheme="minorEastAsia"/>
          <w:i/>
          <w:lang w:eastAsia="ja-JP"/>
        </w:rPr>
        <w:t xml:space="preserve"> </w:t>
      </w:r>
      <w:r w:rsidRPr="007D2212">
        <w:t xml:space="preserve">Macquart consists of over </w:t>
      </w:r>
      <w:r w:rsidR="0043658C">
        <w:t>4</w:t>
      </w:r>
      <w:r w:rsidR="00600348">
        <w:t>60</w:t>
      </w:r>
      <w:r w:rsidR="0043658C" w:rsidRPr="007D2212">
        <w:t xml:space="preserve"> </w:t>
      </w:r>
      <w:r w:rsidRPr="007D2212">
        <w:t>described species that are distributed mostly in regions of Asia and Australasia and subtropical islands of the southern Pacific Ocean (Drew and Romig, 2013</w:t>
      </w:r>
      <w:r w:rsidR="0043658C">
        <w:t xml:space="preserve">; Doorenweerd </w:t>
      </w:r>
      <w:r w:rsidR="0043658C" w:rsidRPr="00EC752D">
        <w:rPr>
          <w:i/>
        </w:rPr>
        <w:t>et al</w:t>
      </w:r>
      <w:r w:rsidR="0043658C">
        <w:t>., 2018</w:t>
      </w:r>
      <w:r w:rsidRPr="007D2212">
        <w:t xml:space="preserve">). </w:t>
      </w:r>
      <w:r w:rsidR="007006F2" w:rsidRPr="007D2212">
        <w:t xml:space="preserve">A few </w:t>
      </w:r>
      <w:r w:rsidR="007006F2" w:rsidRPr="00A4522D">
        <w:rPr>
          <w:i/>
        </w:rPr>
        <w:t>Bactrocera</w:t>
      </w:r>
      <w:r w:rsidR="007006F2" w:rsidRPr="007D2212">
        <w:t xml:space="preserve"> species are native to Africa and several pest species were introduced to that continent. </w:t>
      </w:r>
      <w:r w:rsidRPr="007D2212">
        <w:t xml:space="preserve">Within the genus is a group of flies named the </w:t>
      </w:r>
      <w:r w:rsidRPr="007D2212">
        <w:rPr>
          <w:i/>
        </w:rPr>
        <w:t>Bactrocera dorsalis</w:t>
      </w:r>
      <w:r w:rsidRPr="007D2212">
        <w:rPr>
          <w:rFonts w:eastAsiaTheme="minorEastAsia"/>
          <w:i/>
          <w:lang w:eastAsia="ja-JP"/>
        </w:rPr>
        <w:t xml:space="preserve"> </w:t>
      </w:r>
      <w:r w:rsidRPr="007D2212">
        <w:t xml:space="preserve">complex (Drew and Hancock, 1994; </w:t>
      </w:r>
      <w:r w:rsidRPr="007D2212">
        <w:rPr>
          <w:rFonts w:eastAsiaTheme="minorEastAsia"/>
          <w:lang w:eastAsia="ja-JP"/>
        </w:rPr>
        <w:t xml:space="preserve">Drew, 2004; </w:t>
      </w:r>
      <w:r w:rsidRPr="007D2212">
        <w:t xml:space="preserve">Clark </w:t>
      </w:r>
      <w:r w:rsidRPr="007D2212">
        <w:rPr>
          <w:i/>
        </w:rPr>
        <w:t>et</w:t>
      </w:r>
      <w:r w:rsidRPr="007D2212">
        <w:rPr>
          <w:rFonts w:ascii="Arial" w:hAnsi="Arial" w:cs="Arial"/>
          <w:i/>
          <w:color w:val="000000"/>
          <w:sz w:val="18"/>
          <w:szCs w:val="18"/>
        </w:rPr>
        <w:t> </w:t>
      </w:r>
      <w:r w:rsidRPr="007D2212">
        <w:rPr>
          <w:i/>
        </w:rPr>
        <w:t>al</w:t>
      </w:r>
      <w:r w:rsidRPr="007D2212">
        <w:t xml:space="preserve">., 2005). This complex comprises </w:t>
      </w:r>
      <w:r w:rsidRPr="007D2212">
        <w:rPr>
          <w:rFonts w:eastAsiaTheme="minorEastAsia"/>
          <w:lang w:eastAsia="ja-JP"/>
        </w:rPr>
        <w:t>85</w:t>
      </w:r>
      <w:r w:rsidRPr="007D2212">
        <w:t xml:space="preserve"> described species (Vargas </w:t>
      </w:r>
      <w:r w:rsidRPr="007D2212">
        <w:rPr>
          <w:i/>
        </w:rPr>
        <w:t>et</w:t>
      </w:r>
      <w:r w:rsidRPr="007D2212">
        <w:rPr>
          <w:rFonts w:ascii="Arial" w:hAnsi="Arial" w:cs="Arial"/>
          <w:i/>
          <w:color w:val="000000"/>
          <w:sz w:val="18"/>
          <w:szCs w:val="18"/>
        </w:rPr>
        <w:t> </w:t>
      </w:r>
      <w:r w:rsidRPr="007D2212">
        <w:rPr>
          <w:i/>
        </w:rPr>
        <w:t>al.</w:t>
      </w:r>
      <w:r w:rsidRPr="007D2212">
        <w:t xml:space="preserve">, 2015) that share a very similar appearance, but the complex as a whole does not represent a monophyletic lineage and is merely a group of convenience (Leblanc </w:t>
      </w:r>
      <w:r w:rsidRPr="007D2212">
        <w:rPr>
          <w:i/>
        </w:rPr>
        <w:t>et</w:t>
      </w:r>
      <w:r w:rsidRPr="007D2212">
        <w:rPr>
          <w:rFonts w:ascii="Arial" w:hAnsi="Arial" w:cs="Arial"/>
          <w:i/>
          <w:color w:val="000000"/>
          <w:sz w:val="18"/>
          <w:szCs w:val="18"/>
        </w:rPr>
        <w:t> </w:t>
      </w:r>
      <w:r w:rsidRPr="007D2212">
        <w:rPr>
          <w:i/>
        </w:rPr>
        <w:t>al.</w:t>
      </w:r>
      <w:r w:rsidRPr="007D2212">
        <w:t xml:space="preserve">, 2015). The complex is named after one of its member species, </w:t>
      </w:r>
      <w:r w:rsidRPr="007D2212">
        <w:rPr>
          <w:i/>
        </w:rPr>
        <w:t>Bactrocera dorsalis</w:t>
      </w:r>
      <w:r w:rsidRPr="007D2212">
        <w:rPr>
          <w:rFonts w:eastAsiaTheme="minorEastAsia"/>
          <w:i/>
          <w:lang w:eastAsia="ja-JP"/>
        </w:rPr>
        <w:t xml:space="preserve"> </w:t>
      </w:r>
      <w:r w:rsidRPr="007D2212">
        <w:rPr>
          <w:rFonts w:eastAsiaTheme="minorEastAsia"/>
          <w:lang w:eastAsia="ja-JP"/>
        </w:rPr>
        <w:t>(Figure 1)</w:t>
      </w:r>
      <w:r w:rsidR="002051BA">
        <w:rPr>
          <w:rFonts w:eastAsiaTheme="minorEastAsia"/>
          <w:lang w:eastAsia="ja-JP"/>
        </w:rPr>
        <w:t>,</w:t>
      </w:r>
      <w:r w:rsidRPr="007D2212">
        <w:rPr>
          <w:rFonts w:eastAsiaTheme="minorEastAsia"/>
          <w:lang w:eastAsia="ja-JP"/>
        </w:rPr>
        <w:t xml:space="preserve"> </w:t>
      </w:r>
      <w:r w:rsidRPr="007D2212">
        <w:t xml:space="preserve">which is a polyphagous pest of commercial fruits. Several other species in the complex are also recognized as pests, based on plant host use and pest records (White and Elson-Harris, 1992; Clarke </w:t>
      </w:r>
      <w:r w:rsidRPr="007D2212">
        <w:rPr>
          <w:i/>
        </w:rPr>
        <w:t>et</w:t>
      </w:r>
      <w:r w:rsidRPr="007D2212">
        <w:rPr>
          <w:rFonts w:ascii="Arial" w:hAnsi="Arial" w:cs="Arial"/>
          <w:i/>
          <w:color w:val="000000"/>
          <w:sz w:val="18"/>
          <w:szCs w:val="18"/>
        </w:rPr>
        <w:t> </w:t>
      </w:r>
      <w:r w:rsidRPr="007D2212">
        <w:rPr>
          <w:i/>
        </w:rPr>
        <w:t>al</w:t>
      </w:r>
      <w:r w:rsidRPr="007D2212">
        <w:t xml:space="preserve">., 2005; Vargas </w:t>
      </w:r>
      <w:r w:rsidRPr="007D2212">
        <w:rPr>
          <w:i/>
        </w:rPr>
        <w:t>et</w:t>
      </w:r>
      <w:r w:rsidRPr="007D2212">
        <w:rPr>
          <w:rFonts w:ascii="Arial" w:hAnsi="Arial" w:cs="Arial"/>
          <w:i/>
          <w:color w:val="000000"/>
          <w:sz w:val="18"/>
          <w:szCs w:val="18"/>
        </w:rPr>
        <w:t> </w:t>
      </w:r>
      <w:r w:rsidRPr="007D2212">
        <w:rPr>
          <w:i/>
        </w:rPr>
        <w:t>al.</w:t>
      </w:r>
      <w:r w:rsidRPr="007D2212">
        <w:t>, 2015; Plant Health Australia, 2016).</w:t>
      </w:r>
    </w:p>
    <w:p w14:paraId="0A448DAB" w14:textId="165592B5" w:rsidR="00612969" w:rsidRPr="007D2212" w:rsidRDefault="00E97743">
      <w:pPr>
        <w:pStyle w:val="IPPNormal"/>
        <w:rPr>
          <w:rFonts w:eastAsia="MS Mincho"/>
          <w:lang w:eastAsia="ja-JP"/>
        </w:rPr>
      </w:pPr>
      <w:r w:rsidRPr="007D2212">
        <w:rPr>
          <w:rStyle w:val="PleaseReviewParagraphId"/>
        </w:rPr>
        <w:t>[40]</w:t>
      </w:r>
      <w:r w:rsidRPr="007D2212">
        <w:t xml:space="preserve">The scope of the current protocol is to diagnose adult fruit flies for six </w:t>
      </w:r>
      <w:r w:rsidR="00CA7B12">
        <w:t xml:space="preserve">economically important </w:t>
      </w:r>
      <w:r w:rsidRPr="007D2212">
        <w:t xml:space="preserve">species of the </w:t>
      </w:r>
      <w:r w:rsidRPr="007D2212">
        <w:rPr>
          <w:i/>
        </w:rPr>
        <w:t>Bactrocera dorsalis</w:t>
      </w:r>
      <w:r w:rsidRPr="007D2212">
        <w:t xml:space="preserve"> complex that are found in commercial fruits and vegetables</w:t>
      </w:r>
      <w:r w:rsidRPr="007D2212">
        <w:rPr>
          <w:rFonts w:eastAsiaTheme="minorEastAsia"/>
          <w:lang w:eastAsia="ja-JP"/>
        </w:rPr>
        <w:t xml:space="preserve"> associated with international trade. These species are: </w:t>
      </w:r>
      <w:r w:rsidRPr="007D2212">
        <w:rPr>
          <w:i/>
        </w:rPr>
        <w:t>B. dorsalis</w:t>
      </w:r>
      <w:r w:rsidRPr="007D2212">
        <w:rPr>
          <w:rFonts w:eastAsiaTheme="minorEastAsia"/>
          <w:lang w:eastAsia="ja-JP"/>
        </w:rPr>
        <w:t xml:space="preserve">, </w:t>
      </w:r>
      <w:r w:rsidRPr="007D2212">
        <w:rPr>
          <w:i/>
        </w:rPr>
        <w:t>B. carambolae</w:t>
      </w:r>
      <w:r w:rsidRPr="007D2212">
        <w:t xml:space="preserve">, </w:t>
      </w:r>
      <w:r w:rsidRPr="007D2212">
        <w:rPr>
          <w:i/>
        </w:rPr>
        <w:t>B. caryeae</w:t>
      </w:r>
      <w:r w:rsidRPr="007D2212">
        <w:t xml:space="preserve">, </w:t>
      </w:r>
      <w:r w:rsidRPr="007D2212">
        <w:rPr>
          <w:i/>
        </w:rPr>
        <w:t>B. kandiensis</w:t>
      </w:r>
      <w:r w:rsidRPr="007D2212">
        <w:t xml:space="preserve">, </w:t>
      </w:r>
      <w:r w:rsidRPr="007D2212">
        <w:rPr>
          <w:i/>
        </w:rPr>
        <w:t>B. occipitalis</w:t>
      </w:r>
      <w:r w:rsidRPr="007D2212">
        <w:t xml:space="preserve"> and </w:t>
      </w:r>
      <w:r w:rsidRPr="007D2212">
        <w:rPr>
          <w:i/>
        </w:rPr>
        <w:t>B. pyrifoliae</w:t>
      </w:r>
      <w:r w:rsidRPr="007D2212">
        <w:rPr>
          <w:rFonts w:eastAsiaTheme="minorEastAsia"/>
          <w:lang w:eastAsia="ja-JP"/>
        </w:rPr>
        <w:t>.</w:t>
      </w:r>
      <w:r w:rsidRPr="007D2212">
        <w:t xml:space="preserve"> Distributions of these species are mapped with their pest status and invasion history by Vargas </w:t>
      </w:r>
      <w:r w:rsidRPr="007D2212">
        <w:rPr>
          <w:i/>
        </w:rPr>
        <w:t>et</w:t>
      </w:r>
      <w:r w:rsidR="00372DDC">
        <w:rPr>
          <w:i/>
        </w:rPr>
        <w:t> </w:t>
      </w:r>
      <w:r w:rsidRPr="007D2212">
        <w:rPr>
          <w:i/>
        </w:rPr>
        <w:t>al.</w:t>
      </w:r>
      <w:r w:rsidRPr="007D2212">
        <w:t xml:space="preserve"> (2015).</w:t>
      </w:r>
    </w:p>
    <w:p w14:paraId="02FB8675" w14:textId="0FDE59F3" w:rsidR="00612969" w:rsidRPr="007D2212" w:rsidRDefault="00E97743">
      <w:pPr>
        <w:pStyle w:val="IPPNormal"/>
        <w:rPr>
          <w:rFonts w:eastAsia="MS Mincho"/>
          <w:lang w:eastAsia="ja-JP"/>
        </w:rPr>
      </w:pPr>
      <w:r w:rsidRPr="007D2212">
        <w:rPr>
          <w:rStyle w:val="PleaseReviewParagraphId"/>
        </w:rPr>
        <w:t>[41]</w:t>
      </w:r>
      <w:r w:rsidRPr="007D2212">
        <w:t xml:space="preserve">A lack of characters that can be used reliably to distinguish </w:t>
      </w:r>
      <w:r w:rsidRPr="007D2212">
        <w:rPr>
          <w:i/>
        </w:rPr>
        <w:t>B. dorsalis</w:t>
      </w:r>
      <w:r w:rsidRPr="007D2212">
        <w:t xml:space="preserve"> from two other species (i.e. </w:t>
      </w:r>
      <w:r w:rsidRPr="007D2212">
        <w:rPr>
          <w:i/>
        </w:rPr>
        <w:t>B. papaya</w:t>
      </w:r>
      <w:r w:rsidRPr="007D2212">
        <w:rPr>
          <w:i/>
          <w:lang w:eastAsia="ja-JP"/>
        </w:rPr>
        <w:t>e</w:t>
      </w:r>
      <w:r w:rsidRPr="007D2212">
        <w:rPr>
          <w:lang w:eastAsia="ja-JP"/>
        </w:rPr>
        <w:t xml:space="preserve"> Drew and Hancock, 1994</w:t>
      </w:r>
      <w:r w:rsidRPr="007D2212">
        <w:t xml:space="preserve"> and </w:t>
      </w:r>
      <w:r w:rsidRPr="007D2212">
        <w:rPr>
          <w:i/>
        </w:rPr>
        <w:t>B. invadens</w:t>
      </w:r>
      <w:r w:rsidRPr="007D2212">
        <w:rPr>
          <w:lang w:eastAsia="ja-JP"/>
        </w:rPr>
        <w:t xml:space="preserve"> Drew </w:t>
      </w:r>
      <w:r w:rsidRPr="007D2212">
        <w:rPr>
          <w:i/>
          <w:lang w:eastAsia="ja-JP"/>
        </w:rPr>
        <w:t>et</w:t>
      </w:r>
      <w:r w:rsidRPr="007D2212">
        <w:rPr>
          <w:rFonts w:ascii="Arial" w:hAnsi="Arial" w:cs="Arial"/>
          <w:i/>
          <w:color w:val="000000"/>
          <w:sz w:val="18"/>
          <w:szCs w:val="18"/>
        </w:rPr>
        <w:t> </w:t>
      </w:r>
      <w:r w:rsidRPr="007D2212">
        <w:rPr>
          <w:i/>
          <w:lang w:eastAsia="ja-JP"/>
        </w:rPr>
        <w:t>al</w:t>
      </w:r>
      <w:r w:rsidRPr="007D2212">
        <w:rPr>
          <w:lang w:eastAsia="ja-JP"/>
        </w:rPr>
        <w:t xml:space="preserve">., 2005) </w:t>
      </w:r>
      <w:r w:rsidRPr="007D2212">
        <w:t xml:space="preserve">has resulted in debate regarding the valid taxonomy of the species (Clarke </w:t>
      </w:r>
      <w:r w:rsidRPr="007D2212">
        <w:rPr>
          <w:i/>
        </w:rPr>
        <w:t>et</w:t>
      </w:r>
      <w:r w:rsidRPr="007D2212">
        <w:rPr>
          <w:rFonts w:ascii="Arial" w:hAnsi="Arial" w:cs="Arial"/>
          <w:i/>
          <w:color w:val="000000"/>
          <w:sz w:val="18"/>
          <w:szCs w:val="18"/>
        </w:rPr>
        <w:t> </w:t>
      </w:r>
      <w:r w:rsidRPr="007D2212">
        <w:rPr>
          <w:i/>
        </w:rPr>
        <w:t>al.</w:t>
      </w:r>
      <w:r w:rsidRPr="007D2212">
        <w:t>, 2005; Chen and Hui, 2007; Schutze</w:t>
      </w:r>
      <w:r w:rsidRPr="007D2212">
        <w:rPr>
          <w:rFonts w:eastAsiaTheme="minorEastAsia"/>
          <w:lang w:eastAsia="ja-JP"/>
        </w:rPr>
        <w:t xml:space="preserve"> </w:t>
      </w:r>
      <w:r w:rsidRPr="007D2212">
        <w:rPr>
          <w:i/>
        </w:rPr>
        <w:t>et</w:t>
      </w:r>
      <w:r w:rsidRPr="007D2212">
        <w:rPr>
          <w:rFonts w:ascii="Arial" w:hAnsi="Arial" w:cs="Arial"/>
          <w:i/>
          <w:color w:val="000000"/>
          <w:sz w:val="18"/>
          <w:szCs w:val="18"/>
        </w:rPr>
        <w:t> </w:t>
      </w:r>
      <w:r w:rsidRPr="007D2212">
        <w:rPr>
          <w:i/>
        </w:rPr>
        <w:t>al.</w:t>
      </w:r>
      <w:r w:rsidRPr="007D2212">
        <w:t>, 201</w:t>
      </w:r>
      <w:r w:rsidRPr="007D2212">
        <w:rPr>
          <w:rFonts w:eastAsiaTheme="minorEastAsia"/>
          <w:lang w:eastAsia="ja-JP"/>
        </w:rPr>
        <w:t>5</w:t>
      </w:r>
      <w:r w:rsidRPr="007D2212">
        <w:t>a, 2015b</w:t>
      </w:r>
      <w:r w:rsidRPr="007D2212">
        <w:rPr>
          <w:rFonts w:eastAsiaTheme="minorEastAsia"/>
          <w:lang w:eastAsia="ja-JP"/>
        </w:rPr>
        <w:t>; Drew &amp; Romig, 2016</w:t>
      </w:r>
      <w:r w:rsidR="00CF53A5" w:rsidRPr="007D2212">
        <w:rPr>
          <w:rFonts w:eastAsiaTheme="minorEastAsia"/>
          <w:lang w:eastAsia="ja-JP"/>
        </w:rPr>
        <w:t xml:space="preserve">; Schutze </w:t>
      </w:r>
      <w:r w:rsidR="00CF53A5" w:rsidRPr="00A4522D">
        <w:rPr>
          <w:rFonts w:eastAsiaTheme="minorEastAsia"/>
          <w:i/>
          <w:lang w:eastAsia="ja-JP"/>
        </w:rPr>
        <w:t>et</w:t>
      </w:r>
      <w:r w:rsidR="00372DDC" w:rsidRPr="00A4522D">
        <w:rPr>
          <w:rFonts w:eastAsiaTheme="minorEastAsia"/>
          <w:i/>
          <w:lang w:eastAsia="ja-JP"/>
        </w:rPr>
        <w:t> </w:t>
      </w:r>
      <w:r w:rsidR="00CF53A5" w:rsidRPr="00A4522D">
        <w:rPr>
          <w:rFonts w:eastAsiaTheme="minorEastAsia"/>
          <w:i/>
          <w:lang w:eastAsia="ja-JP"/>
        </w:rPr>
        <w:t>al.</w:t>
      </w:r>
      <w:r w:rsidR="00372DDC">
        <w:rPr>
          <w:rFonts w:eastAsiaTheme="minorEastAsia"/>
          <w:lang w:eastAsia="ja-JP"/>
        </w:rPr>
        <w:t>,</w:t>
      </w:r>
      <w:r w:rsidR="00CF53A5" w:rsidRPr="007D2212">
        <w:rPr>
          <w:rFonts w:eastAsiaTheme="minorEastAsia"/>
          <w:lang w:eastAsia="ja-JP"/>
        </w:rPr>
        <w:t xml:space="preserve"> 2017</w:t>
      </w:r>
      <w:r w:rsidRPr="007D2212">
        <w:t xml:space="preserve">). These three species have been treated as members of a sibling species complex, not to be confused with the </w:t>
      </w:r>
      <w:r w:rsidRPr="007D2212">
        <w:rPr>
          <w:i/>
        </w:rPr>
        <w:t>Bactrocera dorsalis</w:t>
      </w:r>
      <w:r w:rsidRPr="007D2212">
        <w:t xml:space="preserve"> complex (Clarke and Schutze, 2014).</w:t>
      </w:r>
      <w:r w:rsidRPr="007D2212">
        <w:rPr>
          <w:rFonts w:eastAsiaTheme="minorEastAsia"/>
          <w:lang w:eastAsia="ja-JP"/>
        </w:rPr>
        <w:t xml:space="preserve"> </w:t>
      </w:r>
      <w:r w:rsidRPr="007D2212">
        <w:t xml:space="preserve">It is not possible to reliably distinguish among these three species because an accurate identification requires both evaluation of species distribution information and analysis of </w:t>
      </w:r>
      <w:r w:rsidRPr="007D2212">
        <w:lastRenderedPageBreak/>
        <w:t xml:space="preserve">morphological characters that are not discrete for the species. Species distribution information may not be reliable when examining specimens collected outside </w:t>
      </w:r>
      <w:r w:rsidR="002051BA">
        <w:t>the species’</w:t>
      </w:r>
      <w:r w:rsidRPr="007D2212">
        <w:t xml:space="preserve"> known range. Published molecular data cannot distinguish these species (Schutze</w:t>
      </w:r>
      <w:r w:rsidRPr="007D2212">
        <w:rPr>
          <w:rFonts w:eastAsiaTheme="minorEastAsia"/>
          <w:lang w:eastAsia="ja-JP"/>
        </w:rPr>
        <w:t xml:space="preserve"> </w:t>
      </w:r>
      <w:r w:rsidRPr="007D2212">
        <w:rPr>
          <w:i/>
        </w:rPr>
        <w:t>et</w:t>
      </w:r>
      <w:r w:rsidRPr="007D2212">
        <w:rPr>
          <w:rFonts w:ascii="Arial" w:hAnsi="Arial" w:cs="Arial"/>
          <w:i/>
          <w:color w:val="000000"/>
          <w:sz w:val="18"/>
          <w:szCs w:val="18"/>
        </w:rPr>
        <w:t> </w:t>
      </w:r>
      <w:r w:rsidRPr="007D2212">
        <w:rPr>
          <w:i/>
        </w:rPr>
        <w:t>al.</w:t>
      </w:r>
      <w:r w:rsidRPr="007D2212">
        <w:t>, 201</w:t>
      </w:r>
      <w:r w:rsidRPr="007D2212">
        <w:rPr>
          <w:rFonts w:eastAsiaTheme="minorEastAsia"/>
          <w:lang w:eastAsia="ja-JP"/>
        </w:rPr>
        <w:t>5</w:t>
      </w:r>
      <w:r w:rsidRPr="007D2212">
        <w:t xml:space="preserve">a). In a review of available evidence, Schutze </w:t>
      </w:r>
      <w:r w:rsidRPr="007D2212">
        <w:rPr>
          <w:i/>
        </w:rPr>
        <w:t>et</w:t>
      </w:r>
      <w:r w:rsidRPr="007D2212">
        <w:rPr>
          <w:rFonts w:ascii="Arial" w:hAnsi="Arial" w:cs="Arial"/>
          <w:i/>
          <w:color w:val="000000"/>
          <w:sz w:val="18"/>
          <w:szCs w:val="18"/>
        </w:rPr>
        <w:t> </w:t>
      </w:r>
      <w:r w:rsidRPr="007D2212">
        <w:rPr>
          <w:i/>
        </w:rPr>
        <w:t>al</w:t>
      </w:r>
      <w:r w:rsidRPr="007D2212">
        <w:t xml:space="preserve">. (2015a) concluded that these three species are in fact a single biological species called </w:t>
      </w:r>
      <w:r w:rsidRPr="007D2212">
        <w:rPr>
          <w:i/>
        </w:rPr>
        <w:t>Bactrocera dorsalis</w:t>
      </w:r>
      <w:r w:rsidRPr="007D2212">
        <w:t>. Drew and Romig (2016) disagree with that revision</w:t>
      </w:r>
      <w:r w:rsidR="00C2125C" w:rsidRPr="007D2212">
        <w:t xml:space="preserve"> </w:t>
      </w:r>
      <w:r w:rsidR="00C2125C" w:rsidRPr="00A4522D">
        <w:rPr>
          <w:rFonts w:eastAsia="Times New Roman"/>
          <w:szCs w:val="22"/>
        </w:rPr>
        <w:t xml:space="preserve">and reversed the synonymy; however, Schutze </w:t>
      </w:r>
      <w:r w:rsidR="00C2125C" w:rsidRPr="00A4522D">
        <w:rPr>
          <w:rFonts w:eastAsia="Times New Roman"/>
          <w:i/>
          <w:szCs w:val="22"/>
        </w:rPr>
        <w:t>et</w:t>
      </w:r>
      <w:r w:rsidR="00372DDC" w:rsidRPr="00A4522D">
        <w:rPr>
          <w:rFonts w:eastAsia="Times New Roman"/>
          <w:i/>
          <w:szCs w:val="22"/>
        </w:rPr>
        <w:t> </w:t>
      </w:r>
      <w:r w:rsidR="00C2125C" w:rsidRPr="00A4522D">
        <w:rPr>
          <w:rFonts w:eastAsia="Times New Roman"/>
          <w:i/>
          <w:szCs w:val="22"/>
        </w:rPr>
        <w:t>al.</w:t>
      </w:r>
      <w:r w:rsidR="00C2125C" w:rsidRPr="00DB5A6E">
        <w:rPr>
          <w:rFonts w:eastAsia="Times New Roman"/>
          <w:szCs w:val="22"/>
        </w:rPr>
        <w:t xml:space="preserve"> </w:t>
      </w:r>
      <w:r w:rsidR="00C2125C" w:rsidRPr="00A4522D">
        <w:rPr>
          <w:rFonts w:eastAsia="Times New Roman"/>
          <w:szCs w:val="22"/>
        </w:rPr>
        <w:t xml:space="preserve">(2017) published a rebuttal to Drew </w:t>
      </w:r>
      <w:r w:rsidR="00DE13C3" w:rsidRPr="00A4522D">
        <w:rPr>
          <w:rFonts w:eastAsia="Times New Roman"/>
          <w:szCs w:val="22"/>
        </w:rPr>
        <w:t>and</w:t>
      </w:r>
      <w:r w:rsidR="00C2125C" w:rsidRPr="00A4522D">
        <w:rPr>
          <w:rFonts w:eastAsia="Times New Roman"/>
          <w:szCs w:val="22"/>
        </w:rPr>
        <w:t xml:space="preserve"> Romig (2016) that supports the synonymy by Schutze </w:t>
      </w:r>
      <w:r w:rsidR="00C2125C" w:rsidRPr="00A4522D">
        <w:rPr>
          <w:rFonts w:eastAsia="Times New Roman"/>
          <w:i/>
          <w:szCs w:val="22"/>
        </w:rPr>
        <w:t>et</w:t>
      </w:r>
      <w:r w:rsidR="00372DDC" w:rsidRPr="00A4522D">
        <w:rPr>
          <w:rFonts w:eastAsia="Times New Roman"/>
          <w:i/>
          <w:szCs w:val="22"/>
        </w:rPr>
        <w:t> </w:t>
      </w:r>
      <w:r w:rsidR="00C2125C" w:rsidRPr="00A4522D">
        <w:rPr>
          <w:rFonts w:eastAsia="Times New Roman"/>
          <w:i/>
          <w:szCs w:val="22"/>
        </w:rPr>
        <w:t>al.</w:t>
      </w:r>
      <w:r w:rsidR="00C2125C" w:rsidRPr="00A4522D">
        <w:rPr>
          <w:rFonts w:eastAsia="Times New Roman"/>
          <w:szCs w:val="22"/>
        </w:rPr>
        <w:t xml:space="preserve"> (2015a)</w:t>
      </w:r>
      <w:r w:rsidRPr="007D2212">
        <w:t xml:space="preserve">. </w:t>
      </w:r>
      <w:r w:rsidRPr="007D2212">
        <w:rPr>
          <w:lang w:eastAsia="ja-JP"/>
        </w:rPr>
        <w:t xml:space="preserve">In this protocol, the three species are </w:t>
      </w:r>
      <w:r w:rsidRPr="007D2212">
        <w:rPr>
          <w:rFonts w:eastAsiaTheme="minorEastAsia"/>
          <w:lang w:eastAsia="ja-JP"/>
        </w:rPr>
        <w:t xml:space="preserve">collectively </w:t>
      </w:r>
      <w:r w:rsidRPr="007D2212">
        <w:rPr>
          <w:lang w:eastAsia="ja-JP"/>
        </w:rPr>
        <w:t xml:space="preserve">treated as </w:t>
      </w:r>
      <w:r w:rsidRPr="007D2212">
        <w:rPr>
          <w:i/>
          <w:lang w:eastAsia="ja-JP"/>
        </w:rPr>
        <w:t>B.</w:t>
      </w:r>
      <w:r w:rsidRPr="007D2212">
        <w:rPr>
          <w:i/>
        </w:rPr>
        <w:t> </w:t>
      </w:r>
      <w:r w:rsidRPr="007D2212">
        <w:rPr>
          <w:i/>
          <w:lang w:eastAsia="ja-JP"/>
        </w:rPr>
        <w:t>dorsalis</w:t>
      </w:r>
      <w:r w:rsidRPr="007D2212">
        <w:rPr>
          <w:lang w:eastAsia="ja-JP"/>
        </w:rPr>
        <w:t xml:space="preserve"> </w:t>
      </w:r>
      <w:r w:rsidRPr="007D2212">
        <w:rPr>
          <w:i/>
          <w:lang w:eastAsia="ja-JP"/>
        </w:rPr>
        <w:t>sensu lato</w:t>
      </w:r>
      <w:r w:rsidRPr="007D2212">
        <w:rPr>
          <w:lang w:eastAsia="ja-JP"/>
        </w:rPr>
        <w:t xml:space="preserve">. </w:t>
      </w:r>
    </w:p>
    <w:p w14:paraId="0661E5DD" w14:textId="77777777" w:rsidR="00612969" w:rsidRPr="007D2212" w:rsidRDefault="00E97743">
      <w:pPr>
        <w:pStyle w:val="IPPNormal"/>
        <w:rPr>
          <w:rFonts w:eastAsia="MS Mincho"/>
          <w:lang w:eastAsia="ja-JP"/>
        </w:rPr>
      </w:pPr>
      <w:r w:rsidRPr="007D2212">
        <w:rPr>
          <w:rStyle w:val="PleaseReviewParagraphId"/>
        </w:rPr>
        <w:t>[42]</w:t>
      </w:r>
      <w:r w:rsidRPr="007D2212">
        <w:rPr>
          <w:lang w:eastAsia="ja-JP"/>
        </w:rPr>
        <w:t xml:space="preserve">Evidence has been reported of hybridization among some of these six </w:t>
      </w:r>
      <w:r w:rsidRPr="007D2212">
        <w:rPr>
          <w:i/>
          <w:lang w:eastAsia="ja-JP"/>
        </w:rPr>
        <w:t>Bactrocera</w:t>
      </w:r>
      <w:r w:rsidRPr="007D2212">
        <w:rPr>
          <w:lang w:eastAsia="ja-JP"/>
        </w:rPr>
        <w:t xml:space="preserve"> species under laboratory conditions (McInnis </w:t>
      </w:r>
      <w:r w:rsidRPr="007D2212">
        <w:rPr>
          <w:i/>
          <w:lang w:eastAsia="ja-JP"/>
        </w:rPr>
        <w:t>et</w:t>
      </w:r>
      <w:r w:rsidRPr="007D2212">
        <w:rPr>
          <w:rFonts w:ascii="Arial" w:hAnsi="Arial" w:cs="Arial"/>
          <w:i/>
          <w:color w:val="000000"/>
          <w:sz w:val="18"/>
          <w:szCs w:val="18"/>
        </w:rPr>
        <w:t> </w:t>
      </w:r>
      <w:r w:rsidRPr="007D2212">
        <w:rPr>
          <w:i/>
          <w:lang w:eastAsia="ja-JP"/>
        </w:rPr>
        <w:t>al</w:t>
      </w:r>
      <w:r w:rsidRPr="007D2212">
        <w:rPr>
          <w:lang w:eastAsia="ja-JP"/>
        </w:rPr>
        <w:t xml:space="preserve">., 1999; Ebina and Ohto, 2006; Schutze </w:t>
      </w:r>
      <w:r w:rsidRPr="007D2212">
        <w:rPr>
          <w:i/>
          <w:lang w:eastAsia="ja-JP"/>
        </w:rPr>
        <w:t>et</w:t>
      </w:r>
      <w:r w:rsidRPr="007D2212">
        <w:rPr>
          <w:rFonts w:ascii="Arial" w:hAnsi="Arial" w:cs="Arial"/>
          <w:i/>
          <w:color w:val="000000"/>
          <w:sz w:val="18"/>
          <w:szCs w:val="18"/>
        </w:rPr>
        <w:t> </w:t>
      </w:r>
      <w:r w:rsidRPr="007D2212">
        <w:rPr>
          <w:i/>
          <w:lang w:eastAsia="ja-JP"/>
        </w:rPr>
        <w:t>al</w:t>
      </w:r>
      <w:r w:rsidRPr="007D2212">
        <w:rPr>
          <w:lang w:eastAsia="ja-JP"/>
        </w:rPr>
        <w:t xml:space="preserve">., 2013) and of morphological intermediates in the wild (Delomen </w:t>
      </w:r>
      <w:r w:rsidRPr="007D2212">
        <w:rPr>
          <w:i/>
          <w:lang w:eastAsia="ja-JP"/>
        </w:rPr>
        <w:t>et</w:t>
      </w:r>
      <w:r w:rsidRPr="007D2212">
        <w:rPr>
          <w:rFonts w:ascii="Arial" w:hAnsi="Arial" w:cs="Arial"/>
          <w:i/>
          <w:color w:val="000000"/>
          <w:sz w:val="18"/>
          <w:szCs w:val="18"/>
        </w:rPr>
        <w:t> </w:t>
      </w:r>
      <w:r w:rsidRPr="007D2212">
        <w:rPr>
          <w:i/>
          <w:lang w:eastAsia="ja-JP"/>
        </w:rPr>
        <w:t>al</w:t>
      </w:r>
      <w:r w:rsidRPr="007D2212">
        <w:rPr>
          <w:lang w:eastAsia="ja-JP"/>
        </w:rPr>
        <w:t xml:space="preserve">., 2013; Jalani </w:t>
      </w:r>
      <w:r w:rsidRPr="007D2212">
        <w:rPr>
          <w:i/>
          <w:lang w:eastAsia="ja-JP"/>
        </w:rPr>
        <w:t>et</w:t>
      </w:r>
      <w:r w:rsidRPr="007D2212">
        <w:rPr>
          <w:rFonts w:ascii="Arial" w:hAnsi="Arial" w:cs="Arial"/>
          <w:i/>
          <w:color w:val="000000"/>
          <w:sz w:val="18"/>
          <w:szCs w:val="18"/>
        </w:rPr>
        <w:t> </w:t>
      </w:r>
      <w:r w:rsidRPr="007D2212">
        <w:rPr>
          <w:i/>
          <w:lang w:eastAsia="ja-JP"/>
        </w:rPr>
        <w:t>al</w:t>
      </w:r>
      <w:r w:rsidRPr="007D2212">
        <w:rPr>
          <w:lang w:eastAsia="ja-JP"/>
        </w:rPr>
        <w:t xml:space="preserve">. 2014). The frequency of hybrids between these species in nature has not been estimated. Although methods for detecting hybrids between </w:t>
      </w:r>
      <w:r w:rsidRPr="007D2212">
        <w:rPr>
          <w:i/>
          <w:lang w:eastAsia="ja-JP"/>
        </w:rPr>
        <w:t>B.</w:t>
      </w:r>
      <w:r w:rsidRPr="007D2212">
        <w:rPr>
          <w:i/>
        </w:rPr>
        <w:t> </w:t>
      </w:r>
      <w:r w:rsidRPr="007D2212">
        <w:rPr>
          <w:i/>
          <w:lang w:eastAsia="ja-JP"/>
        </w:rPr>
        <w:t>dorsalis</w:t>
      </w:r>
      <w:r w:rsidRPr="007D2212">
        <w:rPr>
          <w:lang w:eastAsia="ja-JP"/>
        </w:rPr>
        <w:t xml:space="preserve"> and </w:t>
      </w:r>
      <w:r w:rsidRPr="007D2212">
        <w:rPr>
          <w:i/>
          <w:lang w:eastAsia="ja-JP"/>
        </w:rPr>
        <w:t>B.</w:t>
      </w:r>
      <w:r w:rsidRPr="007D2212">
        <w:rPr>
          <w:i/>
        </w:rPr>
        <w:t> </w:t>
      </w:r>
      <w:r w:rsidRPr="007D2212">
        <w:rPr>
          <w:i/>
          <w:lang w:eastAsia="ja-JP"/>
        </w:rPr>
        <w:t>carambolae</w:t>
      </w:r>
      <w:r w:rsidRPr="007D2212">
        <w:rPr>
          <w:lang w:eastAsia="ja-JP"/>
        </w:rPr>
        <w:t xml:space="preserve"> have been reported (Ebina and Ohto, 2006) it is currently not possible to measure impacts of hybridization events over time, such as genome introgression or detection of progeny of backcrossed populations. </w:t>
      </w:r>
    </w:p>
    <w:p w14:paraId="74BBFAF8" w14:textId="2115B667" w:rsidR="00612969" w:rsidRPr="007D2212" w:rsidRDefault="00E97743">
      <w:pPr>
        <w:pStyle w:val="IPPNormal"/>
      </w:pPr>
      <w:r w:rsidRPr="007D2212">
        <w:rPr>
          <w:rStyle w:val="PleaseReviewParagraphId"/>
        </w:rPr>
        <w:t>[43]</w:t>
      </w:r>
      <w:r w:rsidRPr="007D2212">
        <w:rPr>
          <w:i/>
        </w:rPr>
        <w:t>B</w:t>
      </w:r>
      <w:r w:rsidRPr="007D2212">
        <w:rPr>
          <w:rFonts w:eastAsiaTheme="minorEastAsia"/>
          <w:i/>
          <w:lang w:eastAsia="ja-JP"/>
        </w:rPr>
        <w:t>.</w:t>
      </w:r>
      <w:r w:rsidRPr="007D2212">
        <w:rPr>
          <w:i/>
          <w:szCs w:val="22"/>
        </w:rPr>
        <w:t> </w:t>
      </w:r>
      <w:r w:rsidRPr="007D2212">
        <w:rPr>
          <w:i/>
        </w:rPr>
        <w:t>carambolae</w:t>
      </w:r>
      <w:r w:rsidRPr="007D2212">
        <w:t xml:space="preserve"> attacks a wide range of fruits from 20 plant families, particularly </w:t>
      </w:r>
      <w:r w:rsidRPr="007D2212">
        <w:rPr>
          <w:i/>
        </w:rPr>
        <w:t>Averrhoa carambola</w:t>
      </w:r>
      <w:r w:rsidRPr="007D2212">
        <w:t xml:space="preserve"> </w:t>
      </w:r>
      <w:r w:rsidRPr="007D2212">
        <w:rPr>
          <w:rFonts w:eastAsiaTheme="minorEastAsia"/>
          <w:lang w:eastAsia="ja-JP"/>
        </w:rPr>
        <w:t xml:space="preserve">(carambola) </w:t>
      </w:r>
      <w:r w:rsidRPr="007D2212">
        <w:t xml:space="preserve">(CABI, 2016). It is found in the southern peninsular area of </w:t>
      </w:r>
      <w:r w:rsidR="00090655">
        <w:t>s</w:t>
      </w:r>
      <w:r w:rsidR="004A7F01" w:rsidRPr="007D2212">
        <w:t xml:space="preserve">outheast </w:t>
      </w:r>
      <w:r w:rsidRPr="007D2212">
        <w:t>Asia through Indonesia and</w:t>
      </w:r>
      <w:r w:rsidR="00EC71E9">
        <w:t xml:space="preserve"> several islands in the Bay of Bengal (Drew and Romig 2013)</w:t>
      </w:r>
      <w:r w:rsidRPr="007D2212">
        <w:t xml:space="preserve">. It is also present in some South American countries (CABI, 2016). </w:t>
      </w:r>
    </w:p>
    <w:p w14:paraId="6A97E8F4" w14:textId="77777777" w:rsidR="00612969" w:rsidRPr="007D2212" w:rsidRDefault="00E97743">
      <w:pPr>
        <w:pStyle w:val="IPPNormal"/>
      </w:pPr>
      <w:r w:rsidRPr="007D2212">
        <w:rPr>
          <w:rStyle w:val="PleaseReviewParagraphId"/>
        </w:rPr>
        <w:t>[44]</w:t>
      </w:r>
      <w:r w:rsidRPr="007D2212">
        <w:rPr>
          <w:i/>
        </w:rPr>
        <w:t>B</w:t>
      </w:r>
      <w:r w:rsidRPr="007D2212">
        <w:rPr>
          <w:rFonts w:eastAsiaTheme="minorEastAsia"/>
          <w:i/>
          <w:lang w:eastAsia="ja-JP"/>
        </w:rPr>
        <w:t>.</w:t>
      </w:r>
      <w:r w:rsidRPr="007D2212">
        <w:rPr>
          <w:i/>
          <w:szCs w:val="22"/>
        </w:rPr>
        <w:t> </w:t>
      </w:r>
      <w:r w:rsidRPr="007D2212">
        <w:rPr>
          <w:i/>
        </w:rPr>
        <w:t>caryeae</w:t>
      </w:r>
      <w:r w:rsidRPr="007D2212">
        <w:t xml:space="preserve"> is known to attack </w:t>
      </w:r>
      <w:r w:rsidRPr="007D2212">
        <w:rPr>
          <w:i/>
        </w:rPr>
        <w:t>Mangifera</w:t>
      </w:r>
      <w:r w:rsidRPr="007D2212">
        <w:t xml:space="preserve"> spp. </w:t>
      </w:r>
      <w:r w:rsidRPr="00A4522D">
        <w:rPr>
          <w:lang w:val="es-ES"/>
        </w:rPr>
        <w:t xml:space="preserve">(mango), </w:t>
      </w:r>
      <w:r w:rsidRPr="00A4522D">
        <w:rPr>
          <w:i/>
          <w:lang w:val="es-ES"/>
        </w:rPr>
        <w:t>Malpighia emarginata</w:t>
      </w:r>
      <w:r w:rsidRPr="00A4522D">
        <w:rPr>
          <w:lang w:val="es-ES"/>
        </w:rPr>
        <w:t xml:space="preserve"> (acerola), </w:t>
      </w:r>
      <w:r w:rsidRPr="00A4522D">
        <w:rPr>
          <w:i/>
          <w:lang w:val="es-ES"/>
        </w:rPr>
        <w:t>Psidium</w:t>
      </w:r>
      <w:r w:rsidRPr="00A4522D">
        <w:rPr>
          <w:rFonts w:eastAsiaTheme="minorEastAsia"/>
          <w:i/>
          <w:lang w:val="es-ES" w:eastAsia="ja-JP"/>
        </w:rPr>
        <w:t xml:space="preserve"> </w:t>
      </w:r>
      <w:r w:rsidRPr="00A4522D">
        <w:rPr>
          <w:lang w:val="es-ES"/>
        </w:rPr>
        <w:t xml:space="preserve">spp. </w:t>
      </w:r>
      <w:r w:rsidRPr="007D2212">
        <w:t xml:space="preserve">(guava), </w:t>
      </w:r>
      <w:r w:rsidRPr="007D2212">
        <w:rPr>
          <w:i/>
        </w:rPr>
        <w:t>Citrus</w:t>
      </w:r>
      <w:r w:rsidRPr="007D2212">
        <w:t xml:space="preserve"> </w:t>
      </w:r>
      <w:r w:rsidRPr="007D2212">
        <w:rPr>
          <w:rFonts w:eastAsiaTheme="minorEastAsia"/>
          <w:lang w:eastAsia="ja-JP"/>
        </w:rPr>
        <w:t>spp.</w:t>
      </w:r>
      <w:r w:rsidRPr="007D2212">
        <w:t xml:space="preserve"> and </w:t>
      </w:r>
      <w:r w:rsidRPr="007D2212">
        <w:rPr>
          <w:i/>
        </w:rPr>
        <w:t>Pouteria</w:t>
      </w:r>
      <w:r w:rsidRPr="007D2212">
        <w:t xml:space="preserve"> spp. (mamey</w:t>
      </w:r>
      <w:r w:rsidRPr="007D2212">
        <w:rPr>
          <w:rFonts w:eastAsiaTheme="minorEastAsia"/>
          <w:lang w:eastAsia="ja-JP"/>
        </w:rPr>
        <w:t xml:space="preserve"> </w:t>
      </w:r>
      <w:r w:rsidRPr="007D2212">
        <w:t xml:space="preserve">sapote), and is endemic to southern India (CABI, 2016). </w:t>
      </w:r>
    </w:p>
    <w:p w14:paraId="60D0C6B5" w14:textId="04105A7F" w:rsidR="00612969" w:rsidRPr="007D2212" w:rsidRDefault="00E97743">
      <w:pPr>
        <w:pStyle w:val="IPPNormal"/>
      </w:pPr>
      <w:r w:rsidRPr="007D2212">
        <w:rPr>
          <w:rStyle w:val="PleaseReviewParagraphId"/>
        </w:rPr>
        <w:t>[45]</w:t>
      </w:r>
      <w:r w:rsidR="00951A61" w:rsidRPr="007D2212">
        <w:rPr>
          <w:i/>
        </w:rPr>
        <w:t>B.</w:t>
      </w:r>
      <w:r w:rsidR="00D76AA7">
        <w:rPr>
          <w:i/>
        </w:rPr>
        <w:t> </w:t>
      </w:r>
      <w:r w:rsidRPr="007D2212">
        <w:rPr>
          <w:i/>
        </w:rPr>
        <w:t>dorsalis</w:t>
      </w:r>
      <w:r w:rsidRPr="007D2212">
        <w:t xml:space="preserve"> </w:t>
      </w:r>
      <w:r w:rsidRPr="007D2212">
        <w:rPr>
          <w:rFonts w:eastAsiaTheme="minorEastAsia"/>
          <w:i/>
          <w:lang w:eastAsia="ja-JP"/>
        </w:rPr>
        <w:t>s.l.</w:t>
      </w:r>
      <w:r w:rsidRPr="007D2212">
        <w:rPr>
          <w:rFonts w:eastAsiaTheme="minorEastAsia"/>
          <w:lang w:eastAsia="ja-JP"/>
        </w:rPr>
        <w:t xml:space="preserve"> </w:t>
      </w:r>
      <w:r w:rsidRPr="007D2212">
        <w:t xml:space="preserve">attacks over 270 plant species (Vargas </w:t>
      </w:r>
      <w:r w:rsidRPr="007D2212">
        <w:rPr>
          <w:i/>
        </w:rPr>
        <w:t>et</w:t>
      </w:r>
      <w:r w:rsidRPr="007D2212">
        <w:rPr>
          <w:rFonts w:ascii="Arial" w:hAnsi="Arial" w:cs="Arial"/>
          <w:i/>
          <w:color w:val="000000"/>
          <w:sz w:val="18"/>
          <w:szCs w:val="18"/>
        </w:rPr>
        <w:t> </w:t>
      </w:r>
      <w:r w:rsidRPr="007D2212">
        <w:rPr>
          <w:i/>
        </w:rPr>
        <w:t>al</w:t>
      </w:r>
      <w:r w:rsidRPr="007D2212">
        <w:t>. 2015) in over 50 families of commercial fruits and wild fruits (CABI, 2016). It has the largest species range of the six pests included in th</w:t>
      </w:r>
      <w:r w:rsidR="00097630">
        <w:t>is</w:t>
      </w:r>
      <w:r w:rsidRPr="007D2212">
        <w:t xml:space="preserve"> protocol, and is found on some islands in the Pacific Ocean and most of continental Africa (sub-Saharan countries) in addition to its original </w:t>
      </w:r>
      <w:r w:rsidRPr="007D2212">
        <w:rPr>
          <w:rFonts w:eastAsiaTheme="minorEastAsia"/>
          <w:lang w:eastAsia="ja-JP"/>
        </w:rPr>
        <w:t xml:space="preserve">Asian </w:t>
      </w:r>
      <w:r w:rsidRPr="007D2212">
        <w:t>range</w:t>
      </w:r>
      <w:r w:rsidRPr="007D2212">
        <w:rPr>
          <w:rFonts w:eastAsiaTheme="minorEastAsia"/>
          <w:lang w:eastAsia="ja-JP"/>
        </w:rPr>
        <w:t xml:space="preserve"> (Drew and Hancock, 1994; Drew </w:t>
      </w:r>
      <w:r w:rsidRPr="007D2212">
        <w:rPr>
          <w:rFonts w:eastAsiaTheme="minorEastAsia"/>
          <w:i/>
          <w:lang w:eastAsia="ja-JP"/>
        </w:rPr>
        <w:t>et</w:t>
      </w:r>
      <w:r w:rsidRPr="007D2212">
        <w:rPr>
          <w:rFonts w:ascii="Arial" w:hAnsi="Arial" w:cs="Arial"/>
          <w:i/>
          <w:color w:val="000000"/>
          <w:sz w:val="18"/>
          <w:szCs w:val="18"/>
        </w:rPr>
        <w:t> </w:t>
      </w:r>
      <w:r w:rsidRPr="007D2212">
        <w:rPr>
          <w:rFonts w:eastAsiaTheme="minorEastAsia"/>
          <w:i/>
          <w:lang w:eastAsia="ja-JP"/>
        </w:rPr>
        <w:t>al</w:t>
      </w:r>
      <w:r w:rsidRPr="007D2212">
        <w:rPr>
          <w:rFonts w:eastAsiaTheme="minorEastAsia"/>
          <w:lang w:eastAsia="ja-JP"/>
        </w:rPr>
        <w:t xml:space="preserve">., 2005; White, 2006; Drew and Romig, 2013; Schutze </w:t>
      </w:r>
      <w:r w:rsidRPr="007D2212">
        <w:rPr>
          <w:rFonts w:eastAsiaTheme="minorEastAsia"/>
          <w:i/>
          <w:lang w:eastAsia="ja-JP"/>
        </w:rPr>
        <w:t>et</w:t>
      </w:r>
      <w:r w:rsidRPr="007D2212">
        <w:rPr>
          <w:rFonts w:ascii="Arial" w:hAnsi="Arial" w:cs="Arial"/>
          <w:i/>
          <w:color w:val="000000"/>
          <w:sz w:val="18"/>
          <w:szCs w:val="18"/>
        </w:rPr>
        <w:t> </w:t>
      </w:r>
      <w:r w:rsidRPr="007D2212">
        <w:rPr>
          <w:rFonts w:eastAsiaTheme="minorEastAsia"/>
          <w:i/>
          <w:lang w:eastAsia="ja-JP"/>
        </w:rPr>
        <w:t>al</w:t>
      </w:r>
      <w:r w:rsidRPr="007D2212">
        <w:rPr>
          <w:rFonts w:eastAsiaTheme="minorEastAsia"/>
          <w:lang w:eastAsia="ja-JP"/>
        </w:rPr>
        <w:t>., 2015a, b)</w:t>
      </w:r>
      <w:r w:rsidRPr="007D2212">
        <w:t xml:space="preserve">. </w:t>
      </w:r>
    </w:p>
    <w:p w14:paraId="44640770" w14:textId="77777777" w:rsidR="00612969" w:rsidRPr="007D2212" w:rsidRDefault="00E97743">
      <w:pPr>
        <w:pStyle w:val="IPPNormal"/>
      </w:pPr>
      <w:r w:rsidRPr="007D2212">
        <w:rPr>
          <w:rStyle w:val="PleaseReviewParagraphId"/>
        </w:rPr>
        <w:t>[46]</w:t>
      </w:r>
      <w:r w:rsidRPr="007D2212">
        <w:rPr>
          <w:i/>
        </w:rPr>
        <w:t>B.</w:t>
      </w:r>
      <w:r w:rsidRPr="007D2212">
        <w:rPr>
          <w:i/>
          <w:szCs w:val="22"/>
        </w:rPr>
        <w:t> </w:t>
      </w:r>
      <w:r w:rsidRPr="007D2212">
        <w:rPr>
          <w:i/>
        </w:rPr>
        <w:t>kandiensis</w:t>
      </w:r>
      <w:r w:rsidRPr="007D2212">
        <w:t xml:space="preserve"> attacks a wide range of fruits including </w:t>
      </w:r>
      <w:r w:rsidRPr="007D2212">
        <w:rPr>
          <w:i/>
        </w:rPr>
        <w:t>Mangifera</w:t>
      </w:r>
      <w:r w:rsidRPr="007D2212">
        <w:t xml:space="preserve"> </w:t>
      </w:r>
      <w:r w:rsidRPr="007D2212">
        <w:rPr>
          <w:i/>
        </w:rPr>
        <w:t>indica</w:t>
      </w:r>
      <w:r w:rsidRPr="007D2212">
        <w:t xml:space="preserve"> (mango), </w:t>
      </w:r>
      <w:r w:rsidRPr="007D2212">
        <w:rPr>
          <w:i/>
        </w:rPr>
        <w:t>Garcinia</w:t>
      </w:r>
      <w:r w:rsidRPr="007D2212">
        <w:t xml:space="preserve"> spp., </w:t>
      </w:r>
      <w:r w:rsidRPr="007D2212">
        <w:rPr>
          <w:i/>
        </w:rPr>
        <w:t>Carica papaya</w:t>
      </w:r>
      <w:r w:rsidRPr="007D2212">
        <w:t xml:space="preserve"> (papaya), </w:t>
      </w:r>
      <w:r w:rsidRPr="007D2212">
        <w:rPr>
          <w:i/>
        </w:rPr>
        <w:t>Persea americana</w:t>
      </w:r>
      <w:r w:rsidRPr="007D2212">
        <w:t xml:space="preserve"> (avocado) and </w:t>
      </w:r>
      <w:r w:rsidRPr="007D2212">
        <w:rPr>
          <w:i/>
        </w:rPr>
        <w:t>Psidium</w:t>
      </w:r>
      <w:r w:rsidRPr="007D2212">
        <w:t xml:space="preserve"> spp. (guava) (CABI, 2016). It has a limited distributional range, being endemic to Sri Lanka. </w:t>
      </w:r>
    </w:p>
    <w:p w14:paraId="4C7E2CED" w14:textId="11BC33FB" w:rsidR="00612969" w:rsidRPr="007D2212" w:rsidRDefault="00E97743">
      <w:pPr>
        <w:pStyle w:val="IPPNormal"/>
      </w:pPr>
      <w:r w:rsidRPr="007D2212">
        <w:rPr>
          <w:rStyle w:val="PleaseReviewParagraphId"/>
        </w:rPr>
        <w:t>[47]</w:t>
      </w:r>
      <w:r w:rsidRPr="007D2212">
        <w:rPr>
          <w:i/>
        </w:rPr>
        <w:t>B</w:t>
      </w:r>
      <w:r w:rsidRPr="007D2212">
        <w:rPr>
          <w:rFonts w:eastAsiaTheme="minorEastAsia"/>
          <w:i/>
          <w:lang w:eastAsia="ja-JP"/>
        </w:rPr>
        <w:t>.</w:t>
      </w:r>
      <w:r w:rsidRPr="007D2212">
        <w:rPr>
          <w:i/>
          <w:szCs w:val="22"/>
        </w:rPr>
        <w:t> </w:t>
      </w:r>
      <w:r w:rsidRPr="007D2212">
        <w:rPr>
          <w:i/>
        </w:rPr>
        <w:t>occipitalis</w:t>
      </w:r>
      <w:r w:rsidRPr="007D2212">
        <w:t xml:space="preserve"> attacks </w:t>
      </w:r>
      <w:r w:rsidRPr="007D2212">
        <w:rPr>
          <w:i/>
        </w:rPr>
        <w:t>Mangifera</w:t>
      </w:r>
      <w:r w:rsidRPr="007D2212">
        <w:t xml:space="preserve"> spp. (mango), </w:t>
      </w:r>
      <w:r w:rsidRPr="007D2212">
        <w:rPr>
          <w:i/>
        </w:rPr>
        <w:t>Psidium</w:t>
      </w:r>
      <w:r w:rsidRPr="007D2212">
        <w:t xml:space="preserve"> spp. (guava), </w:t>
      </w:r>
      <w:r w:rsidRPr="007D2212">
        <w:rPr>
          <w:i/>
        </w:rPr>
        <w:t>Spondias</w:t>
      </w:r>
      <w:r w:rsidRPr="007D2212">
        <w:rPr>
          <w:rFonts w:eastAsiaTheme="minorEastAsia"/>
          <w:i/>
          <w:lang w:eastAsia="ja-JP"/>
        </w:rPr>
        <w:t xml:space="preserve"> </w:t>
      </w:r>
      <w:r w:rsidRPr="007D2212">
        <w:rPr>
          <w:i/>
        </w:rPr>
        <w:t>purpurea</w:t>
      </w:r>
      <w:r w:rsidRPr="007D2212">
        <w:t xml:space="preserve"> (red mombin), </w:t>
      </w:r>
      <w:r w:rsidRPr="007D2212">
        <w:rPr>
          <w:i/>
        </w:rPr>
        <w:t>Averrhoa carambola</w:t>
      </w:r>
      <w:r w:rsidRPr="007D2212">
        <w:t xml:space="preserve"> </w:t>
      </w:r>
      <w:r w:rsidRPr="007D2212">
        <w:rPr>
          <w:rFonts w:eastAsiaTheme="minorEastAsia"/>
          <w:lang w:eastAsia="ja-JP"/>
        </w:rPr>
        <w:t>(</w:t>
      </w:r>
      <w:r w:rsidRPr="007D2212">
        <w:t>carambola</w:t>
      </w:r>
      <w:r w:rsidRPr="007D2212">
        <w:rPr>
          <w:rFonts w:eastAsiaTheme="minorEastAsia"/>
          <w:lang w:eastAsia="ja-JP"/>
        </w:rPr>
        <w:t>)</w:t>
      </w:r>
      <w:r w:rsidRPr="007D2212">
        <w:t xml:space="preserve">, </w:t>
      </w:r>
      <w:r w:rsidRPr="007D2212">
        <w:rPr>
          <w:i/>
        </w:rPr>
        <w:t>Citrus</w:t>
      </w:r>
      <w:r w:rsidRPr="007D2212">
        <w:t xml:space="preserve"> spp. and </w:t>
      </w:r>
      <w:r w:rsidRPr="007D2212">
        <w:rPr>
          <w:i/>
        </w:rPr>
        <w:t>Manilkara zapota</w:t>
      </w:r>
      <w:r w:rsidRPr="007D2212">
        <w:t xml:space="preserve"> (sapodilla) (CABI, 2016). It has a relatively narrow range in </w:t>
      </w:r>
      <w:r w:rsidR="00090655">
        <w:t>s</w:t>
      </w:r>
      <w:r w:rsidR="004A7F01" w:rsidRPr="007D2212">
        <w:t xml:space="preserve">outheast </w:t>
      </w:r>
      <w:r w:rsidRPr="007D2212">
        <w:t>Asia (</w:t>
      </w:r>
      <w:r w:rsidRPr="007D2212">
        <w:rPr>
          <w:rFonts w:eastAsiaTheme="minorEastAsia"/>
          <w:lang w:eastAsia="ja-JP"/>
        </w:rPr>
        <w:t>Drew and Romig, 2013</w:t>
      </w:r>
      <w:r w:rsidRPr="007D2212">
        <w:t>).</w:t>
      </w:r>
    </w:p>
    <w:p w14:paraId="1F8E66C0" w14:textId="1C077E8A" w:rsidR="00612969" w:rsidRPr="007D2212" w:rsidRDefault="00E97743">
      <w:pPr>
        <w:pStyle w:val="IPPNormal"/>
      </w:pPr>
      <w:r w:rsidRPr="007D2212">
        <w:rPr>
          <w:rStyle w:val="PleaseReviewParagraphId"/>
        </w:rPr>
        <w:t>[48]</w:t>
      </w:r>
      <w:r w:rsidRPr="007D2212">
        <w:rPr>
          <w:i/>
        </w:rPr>
        <w:t>B</w:t>
      </w:r>
      <w:r w:rsidRPr="007D2212">
        <w:rPr>
          <w:rFonts w:eastAsiaTheme="minorEastAsia"/>
          <w:i/>
          <w:lang w:eastAsia="ja-JP"/>
        </w:rPr>
        <w:t>.</w:t>
      </w:r>
      <w:r w:rsidRPr="007D2212">
        <w:rPr>
          <w:i/>
          <w:szCs w:val="22"/>
        </w:rPr>
        <w:t> </w:t>
      </w:r>
      <w:r w:rsidRPr="007D2212">
        <w:rPr>
          <w:i/>
        </w:rPr>
        <w:t>pyrifoliae</w:t>
      </w:r>
      <w:r w:rsidRPr="007D2212">
        <w:t xml:space="preserve"> attacks </w:t>
      </w:r>
      <w:r w:rsidRPr="007D2212">
        <w:rPr>
          <w:i/>
        </w:rPr>
        <w:t>Psidium</w:t>
      </w:r>
      <w:r w:rsidRPr="007D2212">
        <w:t xml:space="preserve"> spp. (guava) and </w:t>
      </w:r>
      <w:r w:rsidRPr="007D2212">
        <w:rPr>
          <w:i/>
        </w:rPr>
        <w:t>Prunus persica</w:t>
      </w:r>
      <w:r w:rsidRPr="007D2212">
        <w:t xml:space="preserve"> (peach) (Allwood</w:t>
      </w:r>
      <w:r w:rsidRPr="007D2212">
        <w:rPr>
          <w:rFonts w:eastAsiaTheme="minorEastAsia"/>
          <w:lang w:eastAsia="ja-JP"/>
        </w:rPr>
        <w:t xml:space="preserve"> </w:t>
      </w:r>
      <w:r w:rsidRPr="007D2212">
        <w:rPr>
          <w:i/>
        </w:rPr>
        <w:t>et</w:t>
      </w:r>
      <w:r w:rsidR="00C675DF">
        <w:rPr>
          <w:i/>
        </w:rPr>
        <w:t> </w:t>
      </w:r>
      <w:r w:rsidRPr="007D2212">
        <w:rPr>
          <w:i/>
        </w:rPr>
        <w:t>al.</w:t>
      </w:r>
      <w:r w:rsidRPr="007D2212">
        <w:t xml:space="preserve">, 1999). It is known from parts of </w:t>
      </w:r>
      <w:r w:rsidR="00090655">
        <w:t>s</w:t>
      </w:r>
      <w:r w:rsidR="004A7F01" w:rsidRPr="007D2212">
        <w:t xml:space="preserve">outheast </w:t>
      </w:r>
      <w:r w:rsidRPr="007D2212">
        <w:t>Asia (Drew and</w:t>
      </w:r>
      <w:r w:rsidRPr="007D2212">
        <w:rPr>
          <w:rFonts w:eastAsiaTheme="minorEastAsia"/>
          <w:lang w:eastAsia="ja-JP"/>
        </w:rPr>
        <w:t xml:space="preserve"> </w:t>
      </w:r>
      <w:r w:rsidRPr="007D2212">
        <w:t xml:space="preserve">Romig, 2013). </w:t>
      </w:r>
    </w:p>
    <w:p w14:paraId="3508A7BF" w14:textId="77777777" w:rsidR="00612969" w:rsidRPr="007D2212" w:rsidRDefault="00E97743">
      <w:pPr>
        <w:pStyle w:val="IPPHeading1"/>
      </w:pPr>
      <w:r w:rsidRPr="007D2212">
        <w:rPr>
          <w:rStyle w:val="PleaseReviewParagraphId"/>
          <w:b w:val="0"/>
        </w:rPr>
        <w:t>[49]</w:t>
      </w:r>
      <w:r w:rsidRPr="007D2212">
        <w:t>2.</w:t>
      </w:r>
      <w:r w:rsidRPr="007D2212">
        <w:tab/>
        <w:t>Taxonomic Information</w:t>
      </w:r>
    </w:p>
    <w:p w14:paraId="2818159E" w14:textId="77777777" w:rsidR="00612969" w:rsidRPr="007D2212" w:rsidRDefault="00E97743">
      <w:pPr>
        <w:pStyle w:val="IPPNormal"/>
      </w:pPr>
      <w:r w:rsidRPr="007D2212">
        <w:rPr>
          <w:rStyle w:val="PleaseReviewParagraphId"/>
        </w:rPr>
        <w:t>[50]</w:t>
      </w:r>
      <w:r w:rsidRPr="007D2212">
        <w:rPr>
          <w:b/>
        </w:rPr>
        <w:t>Name:</w:t>
      </w:r>
      <w:r w:rsidRPr="007D2212">
        <w:rPr>
          <w:rFonts w:eastAsiaTheme="minorEastAsia"/>
          <w:b/>
          <w:lang w:eastAsia="ja-JP"/>
        </w:rPr>
        <w:t xml:space="preserve"> </w:t>
      </w:r>
      <w:r w:rsidRPr="007D2212">
        <w:rPr>
          <w:i/>
          <w:iCs/>
        </w:rPr>
        <w:t>Bactrocera dorsalis</w:t>
      </w:r>
      <w:r w:rsidRPr="007D2212">
        <w:t xml:space="preserve"> complex</w:t>
      </w:r>
    </w:p>
    <w:p w14:paraId="3F020FF6" w14:textId="085B0E48" w:rsidR="00612969" w:rsidRPr="00A4522D" w:rsidRDefault="00E97743">
      <w:pPr>
        <w:pStyle w:val="IPPNormal"/>
        <w:rPr>
          <w:bCs/>
        </w:rPr>
      </w:pPr>
      <w:r w:rsidRPr="007D2212">
        <w:rPr>
          <w:rStyle w:val="PleaseReviewParagraphId"/>
        </w:rPr>
        <w:t>[51]</w:t>
      </w:r>
      <w:r w:rsidRPr="007D2212">
        <w:rPr>
          <w:b/>
          <w:bCs/>
        </w:rPr>
        <w:t xml:space="preserve">Synonyms: </w:t>
      </w:r>
      <w:r w:rsidR="0090647B">
        <w:rPr>
          <w:bCs/>
        </w:rPr>
        <w:t>None</w:t>
      </w:r>
    </w:p>
    <w:p w14:paraId="4D2B27BC" w14:textId="77777777" w:rsidR="00612969" w:rsidRPr="00A4522D" w:rsidRDefault="00E97743">
      <w:pPr>
        <w:pStyle w:val="IPPNormal"/>
        <w:rPr>
          <w:lang w:val="es-ES"/>
        </w:rPr>
      </w:pPr>
      <w:r w:rsidRPr="00A4522D">
        <w:rPr>
          <w:rStyle w:val="PleaseReviewParagraphId"/>
          <w:lang w:val="es-ES"/>
        </w:rPr>
        <w:t>[52]</w:t>
      </w:r>
      <w:r w:rsidRPr="00A4522D">
        <w:rPr>
          <w:b/>
          <w:lang w:val="es-ES"/>
        </w:rPr>
        <w:t>Taxonomic position:</w:t>
      </w:r>
      <w:r w:rsidRPr="00A4522D">
        <w:rPr>
          <w:lang w:val="es-ES"/>
        </w:rPr>
        <w:t xml:space="preserve"> Insecta</w:t>
      </w:r>
      <w:r w:rsidRPr="00A4522D">
        <w:rPr>
          <w:rFonts w:eastAsiaTheme="minorEastAsia"/>
          <w:lang w:val="es-ES" w:eastAsia="ja-JP"/>
        </w:rPr>
        <w:t xml:space="preserve">, </w:t>
      </w:r>
      <w:r w:rsidRPr="00A4522D">
        <w:rPr>
          <w:lang w:val="es-ES"/>
        </w:rPr>
        <w:t>Diptera</w:t>
      </w:r>
      <w:r w:rsidRPr="00A4522D">
        <w:rPr>
          <w:rFonts w:eastAsiaTheme="minorEastAsia"/>
          <w:lang w:val="es-ES" w:eastAsia="ja-JP"/>
        </w:rPr>
        <w:t>,</w:t>
      </w:r>
      <w:r w:rsidRPr="00A4522D">
        <w:rPr>
          <w:lang w:val="es-ES"/>
        </w:rPr>
        <w:t xml:space="preserve"> Tephritidae, </w:t>
      </w:r>
      <w:r w:rsidR="00244EB4" w:rsidRPr="00A4522D">
        <w:rPr>
          <w:lang w:val="es-ES"/>
        </w:rPr>
        <w:t xml:space="preserve">Dacinae, </w:t>
      </w:r>
      <w:r w:rsidRPr="00A4522D">
        <w:rPr>
          <w:i/>
          <w:lang w:val="es-ES"/>
        </w:rPr>
        <w:t>Bactrocera</w:t>
      </w:r>
    </w:p>
    <w:p w14:paraId="0BA02932" w14:textId="5F937AC6" w:rsidR="00612969" w:rsidRPr="007D2212" w:rsidRDefault="00E97743">
      <w:pPr>
        <w:pStyle w:val="IPPNormal"/>
      </w:pPr>
      <w:r w:rsidRPr="007D2212">
        <w:rPr>
          <w:rStyle w:val="PleaseReviewParagraphId"/>
        </w:rPr>
        <w:t>[53]</w:t>
      </w:r>
      <w:r w:rsidRPr="007D2212">
        <w:t xml:space="preserve">The species included in the </w:t>
      </w:r>
      <w:r w:rsidRPr="007D2212">
        <w:rPr>
          <w:i/>
        </w:rPr>
        <w:t>Bactrocera dorsalis</w:t>
      </w:r>
      <w:r w:rsidRPr="007D2212">
        <w:t xml:space="preserve"> complex are in the subgenus </w:t>
      </w:r>
      <w:r w:rsidRPr="007D2212">
        <w:rPr>
          <w:i/>
        </w:rPr>
        <w:t>Bactrocera</w:t>
      </w:r>
      <w:r w:rsidRPr="007D2212">
        <w:t xml:space="preserve"> (</w:t>
      </w:r>
      <w:r w:rsidRPr="007D2212">
        <w:rPr>
          <w:i/>
        </w:rPr>
        <w:t>Bactrocera</w:t>
      </w:r>
      <w:r w:rsidRPr="007D2212">
        <w:t xml:space="preserve">). According to ICZN (1999), three species are treated as synonyms under </w:t>
      </w:r>
      <w:r w:rsidR="00B437CC" w:rsidRPr="007D2212">
        <w:rPr>
          <w:i/>
        </w:rPr>
        <w:t>B.</w:t>
      </w:r>
      <w:r w:rsidR="00546257">
        <w:rPr>
          <w:i/>
        </w:rPr>
        <w:t> </w:t>
      </w:r>
      <w:r w:rsidRPr="007D2212">
        <w:rPr>
          <w:i/>
        </w:rPr>
        <w:t>dorsalis</w:t>
      </w:r>
      <w:r w:rsidRPr="007D2212">
        <w:t xml:space="preserve"> </w:t>
      </w:r>
      <w:r w:rsidRPr="007D2212">
        <w:rPr>
          <w:i/>
        </w:rPr>
        <w:t>s.l.</w:t>
      </w:r>
      <w:r w:rsidRPr="007D2212">
        <w:t xml:space="preserve">: </w:t>
      </w:r>
      <w:r w:rsidR="00B437CC" w:rsidRPr="007D2212">
        <w:rPr>
          <w:i/>
        </w:rPr>
        <w:t>B.</w:t>
      </w:r>
      <w:r w:rsidR="00546257">
        <w:rPr>
          <w:i/>
        </w:rPr>
        <w:t> </w:t>
      </w:r>
      <w:r w:rsidRPr="007D2212">
        <w:rPr>
          <w:i/>
        </w:rPr>
        <w:t>papayae</w:t>
      </w:r>
      <w:r w:rsidRPr="007D2212">
        <w:t xml:space="preserve">, </w:t>
      </w:r>
      <w:r w:rsidR="00B437CC" w:rsidRPr="007D2212">
        <w:rPr>
          <w:i/>
        </w:rPr>
        <w:t>B.</w:t>
      </w:r>
      <w:r w:rsidR="00546257">
        <w:rPr>
          <w:i/>
        </w:rPr>
        <w:t> </w:t>
      </w:r>
      <w:r w:rsidRPr="007D2212">
        <w:rPr>
          <w:i/>
        </w:rPr>
        <w:t>invadens</w:t>
      </w:r>
      <w:r w:rsidRPr="007D2212">
        <w:t xml:space="preserve"> and </w:t>
      </w:r>
      <w:r w:rsidR="00B437CC" w:rsidRPr="007D2212">
        <w:rPr>
          <w:i/>
        </w:rPr>
        <w:t>B.</w:t>
      </w:r>
      <w:r w:rsidR="00546257">
        <w:rPr>
          <w:i/>
        </w:rPr>
        <w:t> </w:t>
      </w:r>
      <w:r w:rsidRPr="007D2212">
        <w:rPr>
          <w:i/>
        </w:rPr>
        <w:t>philippinensis</w:t>
      </w:r>
      <w:r w:rsidRPr="007D2212">
        <w:t xml:space="preserve">. Drew and Romig (2013) placed </w:t>
      </w:r>
      <w:r w:rsidRPr="007D2212">
        <w:rPr>
          <w:i/>
        </w:rPr>
        <w:t>B.</w:t>
      </w:r>
      <w:r w:rsidRPr="007D2212">
        <w:rPr>
          <w:i/>
          <w:szCs w:val="22"/>
        </w:rPr>
        <w:t> </w:t>
      </w:r>
      <w:r w:rsidRPr="007D2212">
        <w:rPr>
          <w:i/>
        </w:rPr>
        <w:t>philippinensis</w:t>
      </w:r>
      <w:r w:rsidRPr="007D2212">
        <w:t xml:space="preserve"> as a synonym of </w:t>
      </w:r>
      <w:r w:rsidRPr="007D2212">
        <w:rPr>
          <w:i/>
        </w:rPr>
        <w:t>B.</w:t>
      </w:r>
      <w:r w:rsidRPr="007D2212">
        <w:rPr>
          <w:i/>
          <w:szCs w:val="22"/>
        </w:rPr>
        <w:t> </w:t>
      </w:r>
      <w:r w:rsidRPr="007D2212">
        <w:rPr>
          <w:i/>
        </w:rPr>
        <w:t>papayae</w:t>
      </w:r>
      <w:r w:rsidRPr="007D2212">
        <w:t xml:space="preserve">. Revision by Schutze </w:t>
      </w:r>
      <w:r w:rsidRPr="007D2212">
        <w:rPr>
          <w:i/>
        </w:rPr>
        <w:t>et al</w:t>
      </w:r>
      <w:r w:rsidRPr="007D2212">
        <w:t>. (201</w:t>
      </w:r>
      <w:r w:rsidRPr="007D2212">
        <w:rPr>
          <w:rFonts w:eastAsiaTheme="minorEastAsia"/>
          <w:lang w:eastAsia="ja-JP"/>
        </w:rPr>
        <w:t>5</w:t>
      </w:r>
      <w:r w:rsidRPr="007D2212">
        <w:t>a) place</w:t>
      </w:r>
      <w:r w:rsidR="00B437CC" w:rsidRPr="007D2212">
        <w:t>d</w:t>
      </w:r>
      <w:r w:rsidRPr="007D2212">
        <w:t xml:space="preserve"> </w:t>
      </w:r>
      <w:r w:rsidRPr="007D2212">
        <w:rPr>
          <w:i/>
        </w:rPr>
        <w:t>B.</w:t>
      </w:r>
      <w:r w:rsidRPr="007D2212">
        <w:rPr>
          <w:i/>
          <w:szCs w:val="22"/>
        </w:rPr>
        <w:t> </w:t>
      </w:r>
      <w:r w:rsidRPr="007D2212">
        <w:rPr>
          <w:i/>
        </w:rPr>
        <w:t>invadens</w:t>
      </w:r>
      <w:r w:rsidRPr="007D2212">
        <w:t xml:space="preserve"> and </w:t>
      </w:r>
      <w:r w:rsidRPr="007D2212">
        <w:rPr>
          <w:i/>
        </w:rPr>
        <w:t>B.</w:t>
      </w:r>
      <w:r w:rsidRPr="007D2212">
        <w:rPr>
          <w:i/>
          <w:szCs w:val="22"/>
        </w:rPr>
        <w:t> </w:t>
      </w:r>
      <w:r w:rsidRPr="007D2212">
        <w:rPr>
          <w:i/>
        </w:rPr>
        <w:t>papayae</w:t>
      </w:r>
      <w:r w:rsidRPr="007D2212">
        <w:t xml:space="preserve"> as junior synonyms of </w:t>
      </w:r>
      <w:r w:rsidRPr="007D2212">
        <w:rPr>
          <w:i/>
        </w:rPr>
        <w:t>B.</w:t>
      </w:r>
      <w:r w:rsidRPr="007D2212">
        <w:rPr>
          <w:i/>
          <w:szCs w:val="22"/>
        </w:rPr>
        <w:t> </w:t>
      </w:r>
      <w:r w:rsidRPr="007D2212">
        <w:rPr>
          <w:i/>
        </w:rPr>
        <w:t>dorsalis</w:t>
      </w:r>
      <w:r w:rsidRPr="007D2212">
        <w:t>. Drew and Romig (2016) provide an argument for treating these as separate species</w:t>
      </w:r>
      <w:r w:rsidR="0090647B">
        <w:t>,</w:t>
      </w:r>
      <w:r w:rsidR="00B437CC" w:rsidRPr="007D2212">
        <w:t xml:space="preserve"> but Schutze </w:t>
      </w:r>
      <w:r w:rsidR="00B437CC" w:rsidRPr="00A4522D">
        <w:rPr>
          <w:i/>
        </w:rPr>
        <w:t>et al.</w:t>
      </w:r>
      <w:r w:rsidR="00B437CC" w:rsidRPr="007D2212">
        <w:t xml:space="preserve"> (2017) </w:t>
      </w:r>
      <w:r w:rsidR="000C0808" w:rsidRPr="007D2212">
        <w:t>published a rebuttal of this</w:t>
      </w:r>
      <w:r w:rsidR="00B437CC" w:rsidRPr="007D2212">
        <w:t xml:space="preserve"> argument</w:t>
      </w:r>
      <w:r w:rsidRPr="007D2212">
        <w:t xml:space="preserve">. Note that </w:t>
      </w:r>
      <w:r w:rsidR="00943EF1" w:rsidRPr="007D2212">
        <w:rPr>
          <w:i/>
        </w:rPr>
        <w:t>B.</w:t>
      </w:r>
      <w:r w:rsidR="00546257">
        <w:rPr>
          <w:i/>
        </w:rPr>
        <w:t> </w:t>
      </w:r>
      <w:r w:rsidRPr="007D2212">
        <w:rPr>
          <w:i/>
        </w:rPr>
        <w:t>invadens</w:t>
      </w:r>
      <w:r w:rsidRPr="007D2212">
        <w:t xml:space="preserve"> was </w:t>
      </w:r>
      <w:r w:rsidR="006D171E" w:rsidRPr="007D2212">
        <w:t xml:space="preserve">placed in the </w:t>
      </w:r>
      <w:r w:rsidR="006D171E" w:rsidRPr="007D2212">
        <w:rPr>
          <w:i/>
        </w:rPr>
        <w:t>Bactrocera dorsalis</w:t>
      </w:r>
      <w:r w:rsidR="006D171E" w:rsidRPr="007D2212">
        <w:t xml:space="preserve"> complex by </w:t>
      </w:r>
      <w:r w:rsidR="006D171E" w:rsidRPr="007D2212">
        <w:rPr>
          <w:rFonts w:eastAsiaTheme="minorEastAsia"/>
          <w:szCs w:val="22"/>
          <w:lang w:eastAsia="ja-JP"/>
        </w:rPr>
        <w:t xml:space="preserve">Drew </w:t>
      </w:r>
      <w:r w:rsidR="006D171E" w:rsidRPr="007D2212">
        <w:rPr>
          <w:rFonts w:eastAsiaTheme="minorEastAsia"/>
          <w:i/>
          <w:szCs w:val="22"/>
          <w:lang w:eastAsia="ja-JP"/>
        </w:rPr>
        <w:t>et</w:t>
      </w:r>
      <w:r w:rsidR="006D171E" w:rsidRPr="007D2212">
        <w:rPr>
          <w:rFonts w:ascii="Arial" w:hAnsi="Arial" w:cs="Arial"/>
          <w:i/>
          <w:color w:val="000000"/>
          <w:sz w:val="18"/>
          <w:szCs w:val="18"/>
        </w:rPr>
        <w:t> </w:t>
      </w:r>
      <w:r w:rsidR="006D171E" w:rsidRPr="007D2212">
        <w:rPr>
          <w:rFonts w:eastAsiaTheme="minorEastAsia"/>
          <w:i/>
          <w:szCs w:val="22"/>
          <w:lang w:eastAsia="ja-JP"/>
        </w:rPr>
        <w:t>al</w:t>
      </w:r>
      <w:r w:rsidR="006D171E" w:rsidRPr="007D2212">
        <w:rPr>
          <w:rFonts w:eastAsiaTheme="minorEastAsia"/>
          <w:szCs w:val="22"/>
          <w:lang w:eastAsia="ja-JP"/>
        </w:rPr>
        <w:t>. (2008) but then removed from the</w:t>
      </w:r>
      <w:r w:rsidRPr="007D2212">
        <w:t xml:space="preserve"> complex by </w:t>
      </w:r>
      <w:r w:rsidRPr="007D2212">
        <w:rPr>
          <w:rFonts w:eastAsiaTheme="minorEastAsia"/>
          <w:szCs w:val="22"/>
          <w:lang w:eastAsia="ja-JP"/>
        </w:rPr>
        <w:t xml:space="preserve">Drew </w:t>
      </w:r>
      <w:r w:rsidR="00AC360A" w:rsidRPr="00A4522D">
        <w:rPr>
          <w:rFonts w:eastAsiaTheme="minorEastAsia"/>
          <w:szCs w:val="22"/>
          <w:lang w:eastAsia="ja-JP"/>
        </w:rPr>
        <w:lastRenderedPageBreak/>
        <w:t>and Romig</w:t>
      </w:r>
      <w:r w:rsidRPr="007D2212">
        <w:rPr>
          <w:rFonts w:eastAsiaTheme="minorEastAsia"/>
          <w:szCs w:val="22"/>
          <w:lang w:eastAsia="ja-JP"/>
        </w:rPr>
        <w:t xml:space="preserve"> (2013)</w:t>
      </w:r>
      <w:r w:rsidR="000C0808" w:rsidRPr="007D2212">
        <w:rPr>
          <w:rFonts w:eastAsiaTheme="minorEastAsia"/>
          <w:szCs w:val="22"/>
          <w:lang w:eastAsia="ja-JP"/>
        </w:rPr>
        <w:t>.</w:t>
      </w:r>
      <w:r w:rsidRPr="007D2212">
        <w:rPr>
          <w:rFonts w:eastAsiaTheme="minorEastAsia"/>
          <w:szCs w:val="22"/>
          <w:lang w:eastAsia="ja-JP"/>
        </w:rPr>
        <w:t xml:space="preserve"> </w:t>
      </w:r>
      <w:r w:rsidR="000C0808" w:rsidRPr="007D2212">
        <w:t>B</w:t>
      </w:r>
      <w:r w:rsidRPr="007D2212">
        <w:t xml:space="preserve">ased on Schutze </w:t>
      </w:r>
      <w:r w:rsidRPr="007D2212">
        <w:rPr>
          <w:i/>
        </w:rPr>
        <w:t>et</w:t>
      </w:r>
      <w:r w:rsidRPr="007D2212">
        <w:rPr>
          <w:rFonts w:ascii="Arial" w:hAnsi="Arial" w:cs="Arial"/>
          <w:i/>
          <w:color w:val="000000"/>
          <w:sz w:val="18"/>
          <w:szCs w:val="18"/>
        </w:rPr>
        <w:t> </w:t>
      </w:r>
      <w:r w:rsidRPr="007D2212">
        <w:rPr>
          <w:i/>
        </w:rPr>
        <w:t>al</w:t>
      </w:r>
      <w:r w:rsidRPr="007D2212">
        <w:t>. (2015a)</w:t>
      </w:r>
      <w:r w:rsidR="0090647B">
        <w:t>,</w:t>
      </w:r>
      <w:r w:rsidRPr="007D2212">
        <w:t xml:space="preserve"> </w:t>
      </w:r>
      <w:r w:rsidR="000C0808" w:rsidRPr="00A4522D">
        <w:rPr>
          <w:i/>
        </w:rPr>
        <w:t>B.</w:t>
      </w:r>
      <w:r w:rsidR="00546257">
        <w:rPr>
          <w:i/>
        </w:rPr>
        <w:t> </w:t>
      </w:r>
      <w:r w:rsidR="000C0808" w:rsidRPr="00A4522D">
        <w:rPr>
          <w:i/>
        </w:rPr>
        <w:t>invadens</w:t>
      </w:r>
      <w:r w:rsidR="000C0808" w:rsidRPr="007D2212">
        <w:t xml:space="preserve"> </w:t>
      </w:r>
      <w:r w:rsidRPr="007D2212">
        <w:t>is considered a sibling species, or synonym</w:t>
      </w:r>
      <w:r w:rsidR="00546257">
        <w:t>,</w:t>
      </w:r>
      <w:r w:rsidRPr="007D2212">
        <w:t xml:space="preserve"> of </w:t>
      </w:r>
      <w:r w:rsidRPr="007D2212">
        <w:rPr>
          <w:i/>
        </w:rPr>
        <w:t>Bactrocera dorsalis</w:t>
      </w:r>
      <w:r w:rsidRPr="007D2212">
        <w:t>. The current protocol treats these names (</w:t>
      </w:r>
      <w:r w:rsidRPr="007D2212">
        <w:rPr>
          <w:i/>
        </w:rPr>
        <w:t>B.</w:t>
      </w:r>
      <w:r w:rsidR="00546257">
        <w:rPr>
          <w:i/>
        </w:rPr>
        <w:t> </w:t>
      </w:r>
      <w:r w:rsidRPr="007D2212">
        <w:rPr>
          <w:i/>
        </w:rPr>
        <w:t>papayae</w:t>
      </w:r>
      <w:r w:rsidRPr="007D2212">
        <w:t xml:space="preserve">, </w:t>
      </w:r>
      <w:r w:rsidRPr="007D2212">
        <w:rPr>
          <w:i/>
        </w:rPr>
        <w:t>B. invadens</w:t>
      </w:r>
      <w:r w:rsidRPr="007D2212">
        <w:t xml:space="preserve"> and </w:t>
      </w:r>
      <w:r w:rsidRPr="007D2212">
        <w:rPr>
          <w:i/>
        </w:rPr>
        <w:t>B. philippinensis</w:t>
      </w:r>
      <w:r w:rsidRPr="007D2212">
        <w:t xml:space="preserve">) as part of </w:t>
      </w:r>
      <w:r w:rsidR="000C0808" w:rsidRPr="007D2212">
        <w:rPr>
          <w:i/>
        </w:rPr>
        <w:t>B.</w:t>
      </w:r>
      <w:r w:rsidR="00546257">
        <w:rPr>
          <w:i/>
        </w:rPr>
        <w:t> </w:t>
      </w:r>
      <w:r w:rsidRPr="007D2212">
        <w:rPr>
          <w:i/>
        </w:rPr>
        <w:t>dorsalis</w:t>
      </w:r>
      <w:r w:rsidRPr="007D2212">
        <w:t xml:space="preserve"> </w:t>
      </w:r>
      <w:r w:rsidRPr="007D2212">
        <w:rPr>
          <w:i/>
        </w:rPr>
        <w:t>s.l.</w:t>
      </w:r>
      <w:r w:rsidRPr="007D2212">
        <w:t xml:space="preserve"> </w:t>
      </w:r>
    </w:p>
    <w:p w14:paraId="11A32216" w14:textId="77777777" w:rsidR="003D53AF" w:rsidRDefault="003D53AF">
      <w:pPr>
        <w:spacing w:after="160" w:line="259" w:lineRule="auto"/>
        <w:jc w:val="left"/>
        <w:rPr>
          <w:rStyle w:val="PleaseReviewParagraphId"/>
          <w:rFonts w:eastAsia="Times"/>
        </w:rPr>
      </w:pPr>
      <w:r>
        <w:rPr>
          <w:rStyle w:val="PleaseReviewParagraphId"/>
        </w:rPr>
        <w:br w:type="page"/>
      </w:r>
    </w:p>
    <w:p w14:paraId="1A592B19" w14:textId="1A74E5DD" w:rsidR="00612969" w:rsidRPr="007D2212" w:rsidRDefault="00E97743">
      <w:pPr>
        <w:pStyle w:val="IPPNormal"/>
      </w:pPr>
      <w:r w:rsidRPr="007D2212">
        <w:rPr>
          <w:rStyle w:val="PleaseReviewParagraphId"/>
        </w:rPr>
        <w:lastRenderedPageBreak/>
        <w:t>[54]</w:t>
      </w:r>
      <w:r w:rsidRPr="007D2212">
        <w:rPr>
          <w:b/>
        </w:rPr>
        <w:t>Table 1.</w:t>
      </w:r>
      <w:r w:rsidRPr="007D2212">
        <w:t xml:space="preserve"> Common names and synonyms of six species in the </w:t>
      </w:r>
      <w:r w:rsidRPr="007D2212">
        <w:rPr>
          <w:i/>
        </w:rPr>
        <w:t>Bactrocera dorsalis</w:t>
      </w:r>
      <w:r w:rsidRPr="007D2212">
        <w:t xml:space="preserve"> complex included in the protocol</w:t>
      </w:r>
    </w:p>
    <w:tbl>
      <w:tblPr>
        <w:tblW w:w="9072" w:type="dxa"/>
        <w:tblInd w:w="-5" w:type="dxa"/>
        <w:tblLook w:val="04A0" w:firstRow="1" w:lastRow="0" w:firstColumn="1" w:lastColumn="0" w:noHBand="0" w:noVBand="1"/>
      </w:tblPr>
      <w:tblGrid>
        <w:gridCol w:w="3700"/>
        <w:gridCol w:w="1687"/>
        <w:gridCol w:w="3685"/>
      </w:tblGrid>
      <w:tr w:rsidR="00612969" w:rsidRPr="007D2212" w14:paraId="13317267" w14:textId="77777777" w:rsidTr="00A4522D">
        <w:trPr>
          <w:trHeight w:val="288"/>
        </w:trPr>
        <w:tc>
          <w:tcPr>
            <w:tcW w:w="3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bottom"/>
            <w:hideMark/>
          </w:tcPr>
          <w:p w14:paraId="69D71FF1" w14:textId="77777777" w:rsidR="00612969" w:rsidRPr="007D2212" w:rsidRDefault="00E97743">
            <w:pPr>
              <w:pStyle w:val="IPPArialTable"/>
            </w:pPr>
            <w:r w:rsidRPr="007D2212">
              <w:rPr>
                <w:rStyle w:val="PleaseReviewParagraphId"/>
              </w:rPr>
              <w:t>[55]</w:t>
            </w:r>
            <w:r w:rsidRPr="00A4522D">
              <w:rPr>
                <w:b/>
                <w:i/>
              </w:rPr>
              <w:t>Bactrocera</w:t>
            </w:r>
            <w:r w:rsidRPr="00A4522D">
              <w:rPr>
                <w:b/>
              </w:rPr>
              <w:t xml:space="preserve"> species</w:t>
            </w:r>
          </w:p>
        </w:tc>
        <w:tc>
          <w:tcPr>
            <w:tcW w:w="1687" w:type="dxa"/>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7CF153C9" w14:textId="77777777" w:rsidR="00612969" w:rsidRPr="007D2212" w:rsidRDefault="00E97743">
            <w:pPr>
              <w:pStyle w:val="IPPArialTable"/>
            </w:pPr>
            <w:r w:rsidRPr="007D2212">
              <w:rPr>
                <w:rStyle w:val="PleaseReviewParagraphId"/>
              </w:rPr>
              <w:t>[56]</w:t>
            </w:r>
            <w:r w:rsidRPr="00A4522D">
              <w:rPr>
                <w:b/>
              </w:rPr>
              <w:t>Common name</w:t>
            </w:r>
          </w:p>
        </w:tc>
        <w:tc>
          <w:tcPr>
            <w:tcW w:w="3685" w:type="dxa"/>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51285428" w14:textId="77777777" w:rsidR="00612969" w:rsidRPr="007D2212" w:rsidRDefault="00E97743">
            <w:pPr>
              <w:pStyle w:val="IPPArialTable"/>
            </w:pPr>
            <w:r w:rsidRPr="007D2212">
              <w:rPr>
                <w:rStyle w:val="PleaseReviewParagraphId"/>
              </w:rPr>
              <w:t>[57]</w:t>
            </w:r>
            <w:r w:rsidRPr="00A4522D">
              <w:rPr>
                <w:b/>
              </w:rPr>
              <w:t>Synonyms</w:t>
            </w:r>
          </w:p>
        </w:tc>
      </w:tr>
      <w:tr w:rsidR="00612969" w:rsidRPr="007D2212" w14:paraId="67E5279C" w14:textId="77777777">
        <w:trPr>
          <w:trHeight w:val="552"/>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6AFE9429" w14:textId="77777777" w:rsidR="00612969" w:rsidRPr="007D2212" w:rsidRDefault="00E97743">
            <w:pPr>
              <w:pStyle w:val="IPPArialTable"/>
            </w:pPr>
            <w:r w:rsidRPr="007D2212">
              <w:rPr>
                <w:rStyle w:val="PleaseReviewParagraphId"/>
              </w:rPr>
              <w:t>[58]</w:t>
            </w:r>
            <w:r w:rsidRPr="007D2212">
              <w:rPr>
                <w:i/>
              </w:rPr>
              <w:t>Bactrocera</w:t>
            </w:r>
            <w:r w:rsidRPr="007D2212">
              <w:t xml:space="preserve"> (</w:t>
            </w:r>
            <w:r w:rsidRPr="007D2212">
              <w:rPr>
                <w:i/>
              </w:rPr>
              <w:t>Bactrocera</w:t>
            </w:r>
            <w:r w:rsidRPr="007D2212">
              <w:t xml:space="preserve">) </w:t>
            </w:r>
            <w:r w:rsidRPr="007D2212">
              <w:rPr>
                <w:i/>
              </w:rPr>
              <w:t>carambolae</w:t>
            </w:r>
            <w:r w:rsidRPr="007D2212">
              <w:t xml:space="preserve"> Drew and Hancock, 1994</w:t>
            </w:r>
          </w:p>
        </w:tc>
        <w:tc>
          <w:tcPr>
            <w:tcW w:w="1687" w:type="dxa"/>
            <w:tcBorders>
              <w:top w:val="nil"/>
              <w:left w:val="nil"/>
              <w:bottom w:val="single" w:sz="4" w:space="0" w:color="auto"/>
              <w:right w:val="single" w:sz="4" w:space="0" w:color="auto"/>
            </w:tcBorders>
            <w:shd w:val="clear" w:color="auto" w:fill="auto"/>
            <w:vAlign w:val="center"/>
            <w:hideMark/>
          </w:tcPr>
          <w:p w14:paraId="4386D252" w14:textId="77777777" w:rsidR="00612969" w:rsidRPr="007D2212" w:rsidRDefault="00E97743">
            <w:pPr>
              <w:pStyle w:val="IPPArialTable"/>
            </w:pPr>
            <w:r w:rsidRPr="007D2212">
              <w:rPr>
                <w:rStyle w:val="PleaseReviewParagraphId"/>
              </w:rPr>
              <w:t>[59]</w:t>
            </w:r>
            <w:r w:rsidRPr="007D2212">
              <w:t>Carambola fruit fly</w:t>
            </w:r>
          </w:p>
        </w:tc>
        <w:tc>
          <w:tcPr>
            <w:tcW w:w="3685" w:type="dxa"/>
            <w:tcBorders>
              <w:top w:val="nil"/>
              <w:left w:val="nil"/>
              <w:bottom w:val="single" w:sz="4" w:space="0" w:color="auto"/>
              <w:right w:val="single" w:sz="4" w:space="0" w:color="auto"/>
            </w:tcBorders>
            <w:shd w:val="clear" w:color="auto" w:fill="auto"/>
            <w:vAlign w:val="center"/>
            <w:hideMark/>
          </w:tcPr>
          <w:p w14:paraId="263F5D25" w14:textId="77777777" w:rsidR="00612969" w:rsidRPr="007D2212" w:rsidRDefault="00E97743">
            <w:pPr>
              <w:pStyle w:val="IPPArialTable"/>
            </w:pPr>
            <w:r w:rsidRPr="007D2212">
              <w:rPr>
                <w:rStyle w:val="PleaseReviewParagraphId"/>
              </w:rPr>
              <w:t>[60]</w:t>
            </w:r>
            <w:r w:rsidRPr="007D2212">
              <w:t>None</w:t>
            </w:r>
          </w:p>
        </w:tc>
      </w:tr>
      <w:tr w:rsidR="007D61E9" w:rsidRPr="007D2212" w14:paraId="7BAB9EC1" w14:textId="77777777" w:rsidTr="007D61E9">
        <w:trPr>
          <w:trHeight w:val="288"/>
        </w:trPr>
        <w:tc>
          <w:tcPr>
            <w:tcW w:w="3700" w:type="dxa"/>
            <w:vMerge w:val="restart"/>
            <w:tcBorders>
              <w:top w:val="nil"/>
              <w:left w:val="single" w:sz="4" w:space="0" w:color="auto"/>
              <w:right w:val="single" w:sz="4" w:space="0" w:color="auto"/>
            </w:tcBorders>
            <w:shd w:val="clear" w:color="auto" w:fill="auto"/>
            <w:vAlign w:val="center"/>
          </w:tcPr>
          <w:p w14:paraId="645B540F" w14:textId="50DB8FA9" w:rsidR="007D61E9" w:rsidRPr="007D2212" w:rsidRDefault="007D61E9" w:rsidP="007D61E9">
            <w:pPr>
              <w:pStyle w:val="IPPArialTable"/>
              <w:rPr>
                <w:rStyle w:val="PleaseReviewParagraphId"/>
              </w:rPr>
            </w:pPr>
            <w:r w:rsidRPr="007D2212">
              <w:rPr>
                <w:rStyle w:val="PleaseReviewParagraphId"/>
              </w:rPr>
              <w:t>[61]</w:t>
            </w:r>
            <w:r w:rsidRPr="007D2212">
              <w:rPr>
                <w:i/>
              </w:rPr>
              <w:t>Bactrocera</w:t>
            </w:r>
            <w:r w:rsidRPr="007D2212">
              <w:t xml:space="preserve"> (</w:t>
            </w:r>
            <w:r w:rsidRPr="007D2212">
              <w:rPr>
                <w:i/>
              </w:rPr>
              <w:t>Bactrocera</w:t>
            </w:r>
            <w:r w:rsidRPr="007D2212">
              <w:t xml:space="preserve">) </w:t>
            </w:r>
            <w:r w:rsidRPr="007D2212">
              <w:rPr>
                <w:i/>
              </w:rPr>
              <w:t>caryeae</w:t>
            </w:r>
            <w:r w:rsidRPr="007D2212">
              <w:t xml:space="preserve"> (Kapoor, 1971)</w:t>
            </w:r>
          </w:p>
        </w:tc>
        <w:tc>
          <w:tcPr>
            <w:tcW w:w="1687" w:type="dxa"/>
            <w:vMerge w:val="restart"/>
            <w:tcBorders>
              <w:top w:val="nil"/>
              <w:left w:val="single" w:sz="4" w:space="0" w:color="auto"/>
              <w:right w:val="single" w:sz="4" w:space="0" w:color="auto"/>
            </w:tcBorders>
            <w:shd w:val="clear" w:color="auto" w:fill="auto"/>
            <w:vAlign w:val="center"/>
          </w:tcPr>
          <w:p w14:paraId="1EB4B98A" w14:textId="1E74D59D" w:rsidR="007D61E9" w:rsidRPr="007D2212" w:rsidRDefault="007D61E9" w:rsidP="00506E40">
            <w:pPr>
              <w:pStyle w:val="IPPArialTable"/>
              <w:rPr>
                <w:rStyle w:val="PleaseReviewParagraphId"/>
              </w:rPr>
            </w:pPr>
            <w:r w:rsidRPr="007D2212">
              <w:rPr>
                <w:rStyle w:val="PleaseReviewParagraphId"/>
              </w:rPr>
              <w:t>[62]</w:t>
            </w:r>
          </w:p>
        </w:tc>
        <w:tc>
          <w:tcPr>
            <w:tcW w:w="3685" w:type="dxa"/>
            <w:tcBorders>
              <w:top w:val="nil"/>
              <w:left w:val="nil"/>
              <w:bottom w:val="single" w:sz="4" w:space="0" w:color="auto"/>
              <w:right w:val="single" w:sz="4" w:space="0" w:color="auto"/>
            </w:tcBorders>
            <w:shd w:val="clear" w:color="auto" w:fill="auto"/>
            <w:vAlign w:val="center"/>
          </w:tcPr>
          <w:p w14:paraId="163EA0CD" w14:textId="15E93C33" w:rsidR="007D61E9" w:rsidRPr="00AC360A" w:rsidRDefault="007D61E9" w:rsidP="007D61E9">
            <w:pPr>
              <w:pStyle w:val="IPPArialTable"/>
              <w:rPr>
                <w:rStyle w:val="PleaseReviewParagraphId"/>
                <w:color w:val="auto"/>
                <w:sz w:val="18"/>
              </w:rPr>
            </w:pPr>
            <w:r w:rsidRPr="00A4522D">
              <w:rPr>
                <w:i/>
              </w:rPr>
              <w:t>Chaetodacus ferrugineus incises</w:t>
            </w:r>
            <w:r w:rsidRPr="00A4522D">
              <w:t xml:space="preserve"> Bezzi, 1916</w:t>
            </w:r>
          </w:p>
        </w:tc>
      </w:tr>
      <w:tr w:rsidR="007D61E9" w:rsidRPr="007D2212" w14:paraId="07232FA4" w14:textId="77777777" w:rsidTr="007D61E9">
        <w:trPr>
          <w:trHeight w:val="288"/>
        </w:trPr>
        <w:tc>
          <w:tcPr>
            <w:tcW w:w="3700" w:type="dxa"/>
            <w:vMerge/>
            <w:tcBorders>
              <w:left w:val="single" w:sz="4" w:space="0" w:color="auto"/>
              <w:right w:val="single" w:sz="4" w:space="0" w:color="auto"/>
            </w:tcBorders>
            <w:shd w:val="clear" w:color="auto" w:fill="auto"/>
            <w:vAlign w:val="center"/>
            <w:hideMark/>
          </w:tcPr>
          <w:p w14:paraId="5D2D7D56" w14:textId="375EED7A" w:rsidR="007D61E9" w:rsidRPr="007D2212" w:rsidRDefault="007D61E9" w:rsidP="007D61E9">
            <w:pPr>
              <w:pStyle w:val="IPPArialTable"/>
            </w:pPr>
          </w:p>
        </w:tc>
        <w:tc>
          <w:tcPr>
            <w:tcW w:w="1687" w:type="dxa"/>
            <w:vMerge/>
            <w:tcBorders>
              <w:left w:val="single" w:sz="4" w:space="0" w:color="auto"/>
              <w:right w:val="single" w:sz="4" w:space="0" w:color="auto"/>
            </w:tcBorders>
            <w:shd w:val="clear" w:color="auto" w:fill="auto"/>
            <w:vAlign w:val="center"/>
            <w:hideMark/>
          </w:tcPr>
          <w:p w14:paraId="352E3B23" w14:textId="6D1A5D39" w:rsidR="007D61E9" w:rsidRPr="007D2212" w:rsidRDefault="007D61E9" w:rsidP="007D61E9">
            <w:pPr>
              <w:pStyle w:val="IPPArialTable"/>
            </w:pPr>
          </w:p>
        </w:tc>
        <w:tc>
          <w:tcPr>
            <w:tcW w:w="3685" w:type="dxa"/>
            <w:tcBorders>
              <w:top w:val="nil"/>
              <w:left w:val="nil"/>
              <w:bottom w:val="single" w:sz="4" w:space="0" w:color="auto"/>
              <w:right w:val="single" w:sz="4" w:space="0" w:color="auto"/>
            </w:tcBorders>
            <w:shd w:val="clear" w:color="auto" w:fill="auto"/>
            <w:vAlign w:val="center"/>
            <w:hideMark/>
          </w:tcPr>
          <w:p w14:paraId="499F80F6" w14:textId="77777777" w:rsidR="007D61E9" w:rsidRPr="007D2212" w:rsidRDefault="007D61E9">
            <w:pPr>
              <w:pStyle w:val="IPPArialTable"/>
            </w:pPr>
            <w:r w:rsidRPr="007D2212">
              <w:rPr>
                <w:rStyle w:val="PleaseReviewParagraphId"/>
              </w:rPr>
              <w:t>[63]</w:t>
            </w:r>
            <w:r w:rsidRPr="007D2212">
              <w:rPr>
                <w:i/>
              </w:rPr>
              <w:t>Dacus</w:t>
            </w:r>
            <w:r w:rsidRPr="007D2212">
              <w:t xml:space="preserve"> (</w:t>
            </w:r>
            <w:r w:rsidRPr="007D2212">
              <w:rPr>
                <w:i/>
              </w:rPr>
              <w:t>Strumeta</w:t>
            </w:r>
            <w:r w:rsidRPr="007D2212">
              <w:t xml:space="preserve">) </w:t>
            </w:r>
            <w:r w:rsidRPr="007D2212">
              <w:rPr>
                <w:i/>
              </w:rPr>
              <w:t>caryeae</w:t>
            </w:r>
            <w:r w:rsidRPr="007D2212">
              <w:t xml:space="preserve"> Kapoor, 1971</w:t>
            </w:r>
          </w:p>
        </w:tc>
      </w:tr>
      <w:tr w:rsidR="007D61E9" w:rsidRPr="007D2212" w14:paraId="402E9785" w14:textId="77777777" w:rsidTr="007D61E9">
        <w:trPr>
          <w:trHeight w:val="552"/>
        </w:trPr>
        <w:tc>
          <w:tcPr>
            <w:tcW w:w="3700" w:type="dxa"/>
            <w:vMerge/>
            <w:tcBorders>
              <w:left w:val="single" w:sz="4" w:space="0" w:color="auto"/>
              <w:bottom w:val="single" w:sz="4" w:space="0" w:color="auto"/>
              <w:right w:val="single" w:sz="4" w:space="0" w:color="auto"/>
            </w:tcBorders>
            <w:vAlign w:val="center"/>
            <w:hideMark/>
          </w:tcPr>
          <w:p w14:paraId="6BE76AFC" w14:textId="6CF25D8C" w:rsidR="007D61E9" w:rsidRPr="007D2212" w:rsidRDefault="007D61E9">
            <w:pPr>
              <w:pStyle w:val="IPPArialTable"/>
            </w:pPr>
          </w:p>
        </w:tc>
        <w:tc>
          <w:tcPr>
            <w:tcW w:w="1687" w:type="dxa"/>
            <w:vMerge/>
            <w:tcBorders>
              <w:left w:val="single" w:sz="4" w:space="0" w:color="auto"/>
              <w:bottom w:val="single" w:sz="4" w:space="0" w:color="auto"/>
              <w:right w:val="single" w:sz="4" w:space="0" w:color="auto"/>
            </w:tcBorders>
            <w:vAlign w:val="center"/>
            <w:hideMark/>
          </w:tcPr>
          <w:p w14:paraId="28003F88" w14:textId="2D1CAF6D" w:rsidR="007D61E9" w:rsidRPr="007D2212" w:rsidRDefault="007D61E9">
            <w:pPr>
              <w:pStyle w:val="IPPArialTable"/>
            </w:pPr>
          </w:p>
        </w:tc>
        <w:tc>
          <w:tcPr>
            <w:tcW w:w="3685" w:type="dxa"/>
            <w:tcBorders>
              <w:top w:val="nil"/>
              <w:left w:val="nil"/>
              <w:bottom w:val="single" w:sz="4" w:space="0" w:color="auto"/>
              <w:right w:val="single" w:sz="4" w:space="0" w:color="auto"/>
            </w:tcBorders>
            <w:shd w:val="clear" w:color="auto" w:fill="auto"/>
            <w:vAlign w:val="center"/>
            <w:hideMark/>
          </w:tcPr>
          <w:p w14:paraId="7AF5BBB2" w14:textId="45BC7044" w:rsidR="007D61E9" w:rsidRPr="007D2212" w:rsidRDefault="007D61E9" w:rsidP="00EA3C47">
            <w:pPr>
              <w:pStyle w:val="IPPArialTable"/>
            </w:pPr>
            <w:r w:rsidRPr="007D2212">
              <w:rPr>
                <w:rStyle w:val="PleaseReviewParagraphId"/>
              </w:rPr>
              <w:t>[66</w:t>
            </w:r>
          </w:p>
        </w:tc>
      </w:tr>
      <w:tr w:rsidR="004F7E07" w:rsidRPr="007D2212" w14:paraId="04B365BF" w14:textId="77777777" w:rsidTr="004F7E07">
        <w:trPr>
          <w:trHeight w:val="288"/>
        </w:trPr>
        <w:tc>
          <w:tcPr>
            <w:tcW w:w="3700" w:type="dxa"/>
            <w:vMerge w:val="restart"/>
            <w:tcBorders>
              <w:top w:val="nil"/>
              <w:left w:val="single" w:sz="4" w:space="0" w:color="auto"/>
              <w:right w:val="single" w:sz="4" w:space="0" w:color="auto"/>
            </w:tcBorders>
            <w:shd w:val="clear" w:color="auto" w:fill="auto"/>
            <w:vAlign w:val="center"/>
            <w:hideMark/>
          </w:tcPr>
          <w:p w14:paraId="11AE2C17" w14:textId="77777777" w:rsidR="004F7E07" w:rsidRPr="00A4522D" w:rsidRDefault="004F7E07">
            <w:pPr>
              <w:pStyle w:val="IPPArialTable"/>
              <w:rPr>
                <w:lang w:val="es-ES"/>
              </w:rPr>
            </w:pPr>
            <w:r w:rsidRPr="00A4522D">
              <w:rPr>
                <w:rStyle w:val="PleaseReviewParagraphId"/>
                <w:lang w:val="es-ES"/>
              </w:rPr>
              <w:t>[67]</w:t>
            </w:r>
            <w:r w:rsidRPr="00A4522D">
              <w:rPr>
                <w:i/>
                <w:lang w:val="es-ES"/>
              </w:rPr>
              <w:t>Bactrocera</w:t>
            </w:r>
            <w:r w:rsidRPr="00A4522D">
              <w:rPr>
                <w:lang w:val="es-ES"/>
              </w:rPr>
              <w:t xml:space="preserve"> (</w:t>
            </w:r>
            <w:r w:rsidRPr="00A4522D">
              <w:rPr>
                <w:i/>
                <w:lang w:val="es-ES"/>
              </w:rPr>
              <w:t>Bactrocera</w:t>
            </w:r>
            <w:r w:rsidRPr="00A4522D">
              <w:rPr>
                <w:lang w:val="es-ES"/>
              </w:rPr>
              <w:t xml:space="preserve">) </w:t>
            </w:r>
            <w:r w:rsidRPr="00A4522D">
              <w:rPr>
                <w:i/>
                <w:lang w:val="es-ES"/>
              </w:rPr>
              <w:t>dorsalis</w:t>
            </w:r>
            <w:r w:rsidRPr="00A4522D">
              <w:rPr>
                <w:lang w:val="es-ES"/>
              </w:rPr>
              <w:t xml:space="preserve"> </w:t>
            </w:r>
            <w:r w:rsidRPr="00A4522D">
              <w:rPr>
                <w:i/>
                <w:lang w:val="es-ES"/>
              </w:rPr>
              <w:t>s.l.</w:t>
            </w:r>
            <w:r w:rsidRPr="00A4522D">
              <w:rPr>
                <w:lang w:val="es-ES"/>
              </w:rPr>
              <w:t xml:space="preserve"> (Hendel, 1912)</w:t>
            </w:r>
          </w:p>
          <w:p w14:paraId="61DE2CD8" w14:textId="77777777" w:rsidR="004F7E07" w:rsidRPr="007D2212" w:rsidRDefault="004F7E07">
            <w:pPr>
              <w:pStyle w:val="IPPArialTable"/>
            </w:pPr>
            <w:r w:rsidRPr="007D2212">
              <w:rPr>
                <w:rStyle w:val="PleaseReviewParagraphId"/>
              </w:rPr>
              <w:t>[70]</w:t>
            </w:r>
          </w:p>
          <w:p w14:paraId="236B470B" w14:textId="77777777" w:rsidR="004F7E07" w:rsidRPr="007D2212" w:rsidRDefault="004F7E07">
            <w:pPr>
              <w:pStyle w:val="IPPArialTable"/>
            </w:pPr>
            <w:r w:rsidRPr="007D2212">
              <w:rPr>
                <w:rStyle w:val="PleaseReviewParagraphId"/>
              </w:rPr>
              <w:t>[73]</w:t>
            </w:r>
          </w:p>
          <w:p w14:paraId="65912C0A" w14:textId="77777777" w:rsidR="004F7E07" w:rsidRPr="007D2212" w:rsidRDefault="004F7E07">
            <w:pPr>
              <w:pStyle w:val="IPPArialTable"/>
            </w:pPr>
            <w:r w:rsidRPr="007D2212">
              <w:rPr>
                <w:rStyle w:val="PleaseReviewParagraphId"/>
              </w:rPr>
              <w:t>[76]</w:t>
            </w:r>
          </w:p>
          <w:p w14:paraId="0D535A92" w14:textId="77777777" w:rsidR="004F7E07" w:rsidRPr="007D2212" w:rsidRDefault="004F7E07">
            <w:pPr>
              <w:pStyle w:val="IPPArialTable"/>
            </w:pPr>
            <w:r w:rsidRPr="007D2212">
              <w:rPr>
                <w:rStyle w:val="PleaseReviewParagraphId"/>
              </w:rPr>
              <w:t>[79]</w:t>
            </w:r>
          </w:p>
          <w:p w14:paraId="5677ACE5" w14:textId="51C64BD5" w:rsidR="004F7E07" w:rsidRPr="00A4522D" w:rsidRDefault="004F7E07" w:rsidP="004F7E07">
            <w:pPr>
              <w:pStyle w:val="IPPArialTable"/>
              <w:rPr>
                <w:lang w:val="es-ES"/>
              </w:rPr>
            </w:pPr>
            <w:r w:rsidRPr="007D2212">
              <w:rPr>
                <w:rStyle w:val="PleaseReviewParagraphId"/>
              </w:rPr>
              <w:t>[82]</w:t>
            </w:r>
          </w:p>
        </w:tc>
        <w:tc>
          <w:tcPr>
            <w:tcW w:w="1687" w:type="dxa"/>
            <w:vMerge w:val="restart"/>
            <w:tcBorders>
              <w:top w:val="nil"/>
              <w:left w:val="single" w:sz="4" w:space="0" w:color="auto"/>
              <w:right w:val="single" w:sz="4" w:space="0" w:color="auto"/>
            </w:tcBorders>
            <w:shd w:val="clear" w:color="auto" w:fill="auto"/>
            <w:vAlign w:val="center"/>
            <w:hideMark/>
          </w:tcPr>
          <w:p w14:paraId="0E237046" w14:textId="77777777" w:rsidR="004F7E07" w:rsidRPr="007D2212" w:rsidRDefault="004F7E07">
            <w:pPr>
              <w:pStyle w:val="IPPArialTable"/>
            </w:pPr>
            <w:r w:rsidRPr="007D2212">
              <w:rPr>
                <w:rStyle w:val="PleaseReviewParagraphId"/>
              </w:rPr>
              <w:t>[68]</w:t>
            </w:r>
            <w:r w:rsidRPr="007D2212">
              <w:t>Oriental fruit fly</w:t>
            </w:r>
          </w:p>
          <w:p w14:paraId="0096E10F" w14:textId="77777777" w:rsidR="004F7E07" w:rsidRPr="007D2212" w:rsidRDefault="004F7E07">
            <w:pPr>
              <w:pStyle w:val="IPPArialTable"/>
            </w:pPr>
            <w:r w:rsidRPr="007D2212">
              <w:rPr>
                <w:rStyle w:val="PleaseReviewParagraphId"/>
              </w:rPr>
              <w:t>[71]</w:t>
            </w:r>
          </w:p>
          <w:p w14:paraId="3744B5B2" w14:textId="77777777" w:rsidR="004F7E07" w:rsidRPr="007D2212" w:rsidRDefault="004F7E07">
            <w:pPr>
              <w:pStyle w:val="IPPArialTable"/>
            </w:pPr>
            <w:r w:rsidRPr="007D2212">
              <w:rPr>
                <w:rStyle w:val="PleaseReviewParagraphId"/>
              </w:rPr>
              <w:t>[74]</w:t>
            </w:r>
          </w:p>
          <w:p w14:paraId="61FB3ED0" w14:textId="77777777" w:rsidR="004F7E07" w:rsidRPr="007D2212" w:rsidRDefault="004F7E07">
            <w:pPr>
              <w:pStyle w:val="IPPArialTable"/>
            </w:pPr>
            <w:r w:rsidRPr="007D2212">
              <w:rPr>
                <w:rStyle w:val="PleaseReviewParagraphId"/>
              </w:rPr>
              <w:t>[77]</w:t>
            </w:r>
          </w:p>
          <w:p w14:paraId="7EA58BFF" w14:textId="77777777" w:rsidR="004F7E07" w:rsidRPr="007D2212" w:rsidRDefault="004F7E07">
            <w:pPr>
              <w:pStyle w:val="IPPArialTable"/>
            </w:pPr>
            <w:r w:rsidRPr="007D2212">
              <w:rPr>
                <w:rStyle w:val="PleaseReviewParagraphId"/>
              </w:rPr>
              <w:t>[80]</w:t>
            </w:r>
          </w:p>
          <w:p w14:paraId="4830B664" w14:textId="2FF8BF0E" w:rsidR="004F7E07" w:rsidRPr="007D2212" w:rsidRDefault="004F7E07" w:rsidP="004F7E07">
            <w:pPr>
              <w:pStyle w:val="IPPArialTable"/>
            </w:pPr>
            <w:r w:rsidRPr="007D2212">
              <w:rPr>
                <w:rStyle w:val="PleaseReviewParagraphId"/>
              </w:rPr>
              <w:t>[83]</w:t>
            </w:r>
          </w:p>
        </w:tc>
        <w:tc>
          <w:tcPr>
            <w:tcW w:w="3685" w:type="dxa"/>
            <w:tcBorders>
              <w:top w:val="nil"/>
              <w:left w:val="nil"/>
              <w:bottom w:val="single" w:sz="4" w:space="0" w:color="auto"/>
              <w:right w:val="single" w:sz="4" w:space="0" w:color="auto"/>
            </w:tcBorders>
            <w:shd w:val="clear" w:color="auto" w:fill="auto"/>
            <w:vAlign w:val="center"/>
            <w:hideMark/>
          </w:tcPr>
          <w:p w14:paraId="0FD1F512" w14:textId="78089305" w:rsidR="004F7E07" w:rsidRPr="007D2212" w:rsidRDefault="004F7E07">
            <w:pPr>
              <w:pStyle w:val="IPPArialTable"/>
            </w:pPr>
            <w:r w:rsidRPr="007D2212">
              <w:rPr>
                <w:rStyle w:val="PleaseReviewParagraphId"/>
              </w:rPr>
              <w:t>[69]</w:t>
            </w:r>
            <w:r w:rsidRPr="005B05FD">
              <w:rPr>
                <w:i/>
              </w:rPr>
              <w:t xml:space="preserve"> Bactrocera conformis</w:t>
            </w:r>
            <w:r w:rsidRPr="007D2212">
              <w:t xml:space="preserve"> Doleschall, 1858</w:t>
            </w:r>
          </w:p>
        </w:tc>
      </w:tr>
      <w:tr w:rsidR="004F7E07" w:rsidRPr="007D2212" w14:paraId="63F68492" w14:textId="77777777" w:rsidTr="004F7E07">
        <w:trPr>
          <w:trHeight w:val="552"/>
        </w:trPr>
        <w:tc>
          <w:tcPr>
            <w:tcW w:w="3700" w:type="dxa"/>
            <w:vMerge/>
            <w:tcBorders>
              <w:left w:val="single" w:sz="4" w:space="0" w:color="auto"/>
              <w:right w:val="single" w:sz="4" w:space="0" w:color="auto"/>
            </w:tcBorders>
            <w:vAlign w:val="center"/>
          </w:tcPr>
          <w:p w14:paraId="758E2988" w14:textId="2CB40846" w:rsidR="004F7E07" w:rsidRPr="007D2212" w:rsidRDefault="004F7E07" w:rsidP="004F7E07">
            <w:pPr>
              <w:pStyle w:val="IPPArialTable"/>
              <w:rPr>
                <w:rStyle w:val="PleaseReviewParagraphId"/>
              </w:rPr>
            </w:pPr>
          </w:p>
        </w:tc>
        <w:tc>
          <w:tcPr>
            <w:tcW w:w="1687" w:type="dxa"/>
            <w:vMerge/>
            <w:tcBorders>
              <w:left w:val="single" w:sz="4" w:space="0" w:color="auto"/>
              <w:right w:val="single" w:sz="4" w:space="0" w:color="auto"/>
            </w:tcBorders>
            <w:vAlign w:val="center"/>
          </w:tcPr>
          <w:p w14:paraId="69DC470E" w14:textId="445864E5" w:rsidR="004F7E07" w:rsidRPr="007D2212" w:rsidRDefault="004F7E07" w:rsidP="004F7E07">
            <w:pPr>
              <w:pStyle w:val="IPPArialTable"/>
              <w:rPr>
                <w:rStyle w:val="PleaseReviewParagraphId"/>
              </w:rPr>
            </w:pPr>
          </w:p>
        </w:tc>
        <w:tc>
          <w:tcPr>
            <w:tcW w:w="3685" w:type="dxa"/>
            <w:tcBorders>
              <w:top w:val="nil"/>
              <w:left w:val="nil"/>
              <w:bottom w:val="single" w:sz="4" w:space="0" w:color="auto"/>
              <w:right w:val="single" w:sz="4" w:space="0" w:color="auto"/>
            </w:tcBorders>
            <w:shd w:val="clear" w:color="auto" w:fill="auto"/>
            <w:vAlign w:val="center"/>
          </w:tcPr>
          <w:p w14:paraId="429EDFA5" w14:textId="75324C3C" w:rsidR="004F7E07" w:rsidRPr="007D2212" w:rsidRDefault="004F7E07" w:rsidP="00EA3C47">
            <w:pPr>
              <w:pStyle w:val="IPPArialTable"/>
              <w:rPr>
                <w:rStyle w:val="PleaseReviewParagraphId"/>
              </w:rPr>
            </w:pPr>
            <w:r w:rsidRPr="007D2212">
              <w:rPr>
                <w:i/>
              </w:rPr>
              <w:t>Dacus</w:t>
            </w:r>
            <w:r w:rsidRPr="007D2212">
              <w:t xml:space="preserve"> </w:t>
            </w:r>
            <w:r w:rsidRPr="007D2212">
              <w:rPr>
                <w:i/>
              </w:rPr>
              <w:t>dorsalis</w:t>
            </w:r>
            <w:r w:rsidRPr="007D2212">
              <w:t xml:space="preserve"> Hendel, 1912</w:t>
            </w:r>
          </w:p>
        </w:tc>
      </w:tr>
      <w:tr w:rsidR="004F7E07" w:rsidRPr="007D2212" w14:paraId="770FB7B0" w14:textId="77777777" w:rsidTr="004F7E07">
        <w:trPr>
          <w:trHeight w:val="552"/>
        </w:trPr>
        <w:tc>
          <w:tcPr>
            <w:tcW w:w="3700" w:type="dxa"/>
            <w:vMerge/>
            <w:tcBorders>
              <w:left w:val="single" w:sz="4" w:space="0" w:color="auto"/>
              <w:right w:val="single" w:sz="4" w:space="0" w:color="auto"/>
            </w:tcBorders>
            <w:vAlign w:val="center"/>
            <w:hideMark/>
          </w:tcPr>
          <w:p w14:paraId="7152F852" w14:textId="2E34D102" w:rsidR="004F7E07" w:rsidRPr="007D2212" w:rsidRDefault="004F7E07" w:rsidP="004F7E07">
            <w:pPr>
              <w:pStyle w:val="IPPArialTable"/>
            </w:pPr>
          </w:p>
        </w:tc>
        <w:tc>
          <w:tcPr>
            <w:tcW w:w="1687" w:type="dxa"/>
            <w:vMerge/>
            <w:tcBorders>
              <w:left w:val="single" w:sz="4" w:space="0" w:color="auto"/>
              <w:right w:val="single" w:sz="4" w:space="0" w:color="auto"/>
            </w:tcBorders>
            <w:vAlign w:val="center"/>
            <w:hideMark/>
          </w:tcPr>
          <w:p w14:paraId="170D5AE0" w14:textId="03CAB895" w:rsidR="004F7E07" w:rsidRPr="007D2212" w:rsidRDefault="004F7E07" w:rsidP="004F7E07">
            <w:pPr>
              <w:pStyle w:val="IPPArialTable"/>
            </w:pPr>
          </w:p>
        </w:tc>
        <w:tc>
          <w:tcPr>
            <w:tcW w:w="3685" w:type="dxa"/>
            <w:tcBorders>
              <w:top w:val="nil"/>
              <w:left w:val="nil"/>
              <w:bottom w:val="single" w:sz="4" w:space="0" w:color="auto"/>
              <w:right w:val="single" w:sz="4" w:space="0" w:color="auto"/>
            </w:tcBorders>
            <w:shd w:val="clear" w:color="auto" w:fill="auto"/>
            <w:vAlign w:val="center"/>
            <w:hideMark/>
          </w:tcPr>
          <w:p w14:paraId="737EA44E" w14:textId="39DB1392" w:rsidR="004F7E07" w:rsidRDefault="004F7E07" w:rsidP="00EA3C47">
            <w:pPr>
              <w:pStyle w:val="IPPArialTable"/>
            </w:pPr>
            <w:r w:rsidRPr="007D2212">
              <w:rPr>
                <w:rStyle w:val="PleaseReviewParagraphId"/>
              </w:rPr>
              <w:t>[72]</w:t>
            </w:r>
          </w:p>
          <w:p w14:paraId="76640B3A" w14:textId="5C723D6B" w:rsidR="004F7E07" w:rsidRPr="007D2212" w:rsidRDefault="004F7E07" w:rsidP="00EA3C47">
            <w:pPr>
              <w:pStyle w:val="IPPArialTable"/>
            </w:pPr>
            <w:r w:rsidRPr="00267835">
              <w:rPr>
                <w:i/>
              </w:rPr>
              <w:t>Chaetodacus</w:t>
            </w:r>
            <w:r>
              <w:rPr>
                <w:i/>
              </w:rPr>
              <w:t xml:space="preserve"> </w:t>
            </w:r>
            <w:r w:rsidRPr="00267835">
              <w:rPr>
                <w:i/>
              </w:rPr>
              <w:t xml:space="preserve">ferrugineus </w:t>
            </w:r>
            <w:r w:rsidRPr="00B506D9">
              <w:t>var</w:t>
            </w:r>
            <w:r w:rsidRPr="00267835">
              <w:rPr>
                <w:i/>
              </w:rPr>
              <w:t xml:space="preserve">. okinawanus </w:t>
            </w:r>
            <w:r w:rsidRPr="00B506D9">
              <w:t>Shiraki</w:t>
            </w:r>
            <w:r w:rsidRPr="00267835">
              <w:rPr>
                <w:i/>
              </w:rPr>
              <w:t>, 1933</w:t>
            </w:r>
          </w:p>
        </w:tc>
      </w:tr>
      <w:tr w:rsidR="004F7E07" w:rsidRPr="00CC40B0" w14:paraId="64E1B5D2" w14:textId="77777777" w:rsidTr="004F7E07">
        <w:trPr>
          <w:trHeight w:val="552"/>
        </w:trPr>
        <w:tc>
          <w:tcPr>
            <w:tcW w:w="3700" w:type="dxa"/>
            <w:vMerge/>
            <w:tcBorders>
              <w:left w:val="single" w:sz="4" w:space="0" w:color="auto"/>
              <w:right w:val="single" w:sz="4" w:space="0" w:color="auto"/>
            </w:tcBorders>
            <w:vAlign w:val="center"/>
            <w:hideMark/>
          </w:tcPr>
          <w:p w14:paraId="3106D273" w14:textId="75380B7E" w:rsidR="004F7E07" w:rsidRPr="007D2212" w:rsidRDefault="004F7E07" w:rsidP="004F7E07">
            <w:pPr>
              <w:pStyle w:val="IPPArialTable"/>
            </w:pPr>
          </w:p>
        </w:tc>
        <w:tc>
          <w:tcPr>
            <w:tcW w:w="1687" w:type="dxa"/>
            <w:vMerge/>
            <w:tcBorders>
              <w:left w:val="single" w:sz="4" w:space="0" w:color="auto"/>
              <w:right w:val="single" w:sz="4" w:space="0" w:color="auto"/>
            </w:tcBorders>
            <w:vAlign w:val="center"/>
            <w:hideMark/>
          </w:tcPr>
          <w:p w14:paraId="6DC454D3" w14:textId="4747D23B" w:rsidR="004F7E07" w:rsidRPr="007D2212" w:rsidRDefault="004F7E07" w:rsidP="004F7E07">
            <w:pPr>
              <w:pStyle w:val="IPPArialTable"/>
            </w:pPr>
          </w:p>
        </w:tc>
        <w:tc>
          <w:tcPr>
            <w:tcW w:w="3685" w:type="dxa"/>
            <w:tcBorders>
              <w:top w:val="nil"/>
              <w:left w:val="nil"/>
              <w:bottom w:val="single" w:sz="4" w:space="0" w:color="auto"/>
              <w:right w:val="single" w:sz="4" w:space="0" w:color="auto"/>
            </w:tcBorders>
            <w:shd w:val="clear" w:color="auto" w:fill="auto"/>
            <w:vAlign w:val="center"/>
            <w:hideMark/>
          </w:tcPr>
          <w:p w14:paraId="1F53ECA7" w14:textId="244051DE" w:rsidR="004F7E07" w:rsidRDefault="004F7E07" w:rsidP="00EA3C47">
            <w:pPr>
              <w:pStyle w:val="IPPArialTable"/>
              <w:rPr>
                <w:lang w:val="es-ES"/>
              </w:rPr>
            </w:pPr>
            <w:r w:rsidRPr="00A4522D">
              <w:rPr>
                <w:rStyle w:val="PleaseReviewParagraphId"/>
                <w:lang w:val="es-ES"/>
              </w:rPr>
              <w:t>[75]</w:t>
            </w:r>
            <w:r>
              <w:rPr>
                <w:lang w:val="es-ES"/>
              </w:rPr>
              <w:t xml:space="preserve"> </w:t>
            </w:r>
          </w:p>
          <w:p w14:paraId="1FF714B2" w14:textId="71AA8B0C" w:rsidR="004F7E07" w:rsidRPr="00A4522D" w:rsidRDefault="004F7E07" w:rsidP="00EA3C47">
            <w:pPr>
              <w:pStyle w:val="IPPArialTable"/>
              <w:rPr>
                <w:lang w:val="es-ES"/>
              </w:rPr>
            </w:pPr>
            <w:r w:rsidRPr="00FA43A0">
              <w:rPr>
                <w:i/>
              </w:rPr>
              <w:t xml:space="preserve">Dacus </w:t>
            </w:r>
            <w:r w:rsidRPr="00B506D9">
              <w:t>(</w:t>
            </w:r>
            <w:r w:rsidRPr="00FA43A0">
              <w:rPr>
                <w:i/>
              </w:rPr>
              <w:t>Bactrocera</w:t>
            </w:r>
            <w:r w:rsidRPr="00B506D9">
              <w:t>)</w:t>
            </w:r>
            <w:r w:rsidRPr="00FA43A0">
              <w:rPr>
                <w:i/>
              </w:rPr>
              <w:t xml:space="preserve"> semifemoralis </w:t>
            </w:r>
            <w:r w:rsidRPr="00B506D9">
              <w:t>Tseng, Chen &amp; Chu,</w:t>
            </w:r>
            <w:r>
              <w:t xml:space="preserve"> </w:t>
            </w:r>
            <w:r w:rsidRPr="00B506D9">
              <w:t>1992</w:t>
            </w:r>
          </w:p>
        </w:tc>
      </w:tr>
      <w:tr w:rsidR="004F7E07" w:rsidRPr="007D2212" w14:paraId="585C572C" w14:textId="77777777" w:rsidTr="004F7E07">
        <w:trPr>
          <w:trHeight w:val="552"/>
        </w:trPr>
        <w:tc>
          <w:tcPr>
            <w:tcW w:w="3700" w:type="dxa"/>
            <w:vMerge/>
            <w:tcBorders>
              <w:left w:val="single" w:sz="4" w:space="0" w:color="auto"/>
              <w:right w:val="single" w:sz="4" w:space="0" w:color="auto"/>
            </w:tcBorders>
            <w:vAlign w:val="center"/>
            <w:hideMark/>
          </w:tcPr>
          <w:p w14:paraId="42092C3B" w14:textId="40D42EBB" w:rsidR="004F7E07" w:rsidRPr="007D2212" w:rsidRDefault="004F7E07" w:rsidP="004F7E07">
            <w:pPr>
              <w:pStyle w:val="IPPArialTable"/>
            </w:pPr>
          </w:p>
        </w:tc>
        <w:tc>
          <w:tcPr>
            <w:tcW w:w="1687" w:type="dxa"/>
            <w:vMerge/>
            <w:tcBorders>
              <w:left w:val="single" w:sz="4" w:space="0" w:color="auto"/>
              <w:right w:val="single" w:sz="4" w:space="0" w:color="auto"/>
            </w:tcBorders>
            <w:vAlign w:val="center"/>
            <w:hideMark/>
          </w:tcPr>
          <w:p w14:paraId="74F29F55" w14:textId="07276D2A" w:rsidR="004F7E07" w:rsidRPr="007D2212" w:rsidRDefault="004F7E07" w:rsidP="004F7E07">
            <w:pPr>
              <w:pStyle w:val="IPPArialTable"/>
            </w:pPr>
          </w:p>
        </w:tc>
        <w:tc>
          <w:tcPr>
            <w:tcW w:w="3685" w:type="dxa"/>
            <w:tcBorders>
              <w:top w:val="nil"/>
              <w:left w:val="nil"/>
              <w:bottom w:val="single" w:sz="4" w:space="0" w:color="auto"/>
              <w:right w:val="single" w:sz="4" w:space="0" w:color="auto"/>
            </w:tcBorders>
            <w:shd w:val="clear" w:color="auto" w:fill="auto"/>
            <w:vAlign w:val="center"/>
            <w:hideMark/>
          </w:tcPr>
          <w:p w14:paraId="2434EB68" w14:textId="6C51BD58" w:rsidR="004F7E07" w:rsidRDefault="004F7E07" w:rsidP="00CC2447">
            <w:pPr>
              <w:pStyle w:val="IPPArialTable"/>
            </w:pPr>
            <w:r w:rsidRPr="007D2212">
              <w:rPr>
                <w:rStyle w:val="PleaseReviewParagraphId"/>
              </w:rPr>
              <w:t>[78]</w:t>
            </w:r>
            <w:r w:rsidRPr="007D2212">
              <w:t xml:space="preserve"> </w:t>
            </w:r>
          </w:p>
          <w:p w14:paraId="1AD78029" w14:textId="1D37CC4D" w:rsidR="004F7E07" w:rsidRPr="007D2212" w:rsidRDefault="004F7E07" w:rsidP="00CC2447">
            <w:pPr>
              <w:pStyle w:val="IPPArialTable"/>
            </w:pPr>
            <w:r w:rsidRPr="00FA43A0">
              <w:rPr>
                <w:i/>
              </w:rPr>
              <w:t xml:space="preserve">Dacus </w:t>
            </w:r>
            <w:r w:rsidRPr="00B506D9">
              <w:t>(</w:t>
            </w:r>
            <w:r w:rsidRPr="00FA43A0">
              <w:rPr>
                <w:i/>
              </w:rPr>
              <w:t>Bactrocera</w:t>
            </w:r>
            <w:r w:rsidRPr="00B506D9">
              <w:t>)</w:t>
            </w:r>
            <w:r w:rsidRPr="00FA43A0">
              <w:rPr>
                <w:i/>
              </w:rPr>
              <w:t xml:space="preserve"> yil</w:t>
            </w:r>
            <w:r>
              <w:rPr>
                <w:i/>
              </w:rPr>
              <w:t xml:space="preserve">anensis </w:t>
            </w:r>
            <w:r w:rsidRPr="00B506D9">
              <w:t>Tseng, Chen &amp; Chu, 1992</w:t>
            </w:r>
          </w:p>
        </w:tc>
      </w:tr>
      <w:tr w:rsidR="004F7E07" w:rsidRPr="007D2212" w14:paraId="0C4C74BD" w14:textId="77777777" w:rsidTr="004F7E07">
        <w:trPr>
          <w:trHeight w:val="552"/>
        </w:trPr>
        <w:tc>
          <w:tcPr>
            <w:tcW w:w="3700" w:type="dxa"/>
            <w:vMerge/>
            <w:tcBorders>
              <w:left w:val="single" w:sz="4" w:space="0" w:color="auto"/>
              <w:right w:val="single" w:sz="4" w:space="0" w:color="auto"/>
            </w:tcBorders>
            <w:vAlign w:val="center"/>
          </w:tcPr>
          <w:p w14:paraId="108F2B47" w14:textId="51284F99" w:rsidR="004F7E07" w:rsidRPr="007D2212" w:rsidRDefault="004F7E07" w:rsidP="004F7E07">
            <w:pPr>
              <w:pStyle w:val="IPPArialTable"/>
              <w:rPr>
                <w:rStyle w:val="PleaseReviewParagraphId"/>
              </w:rPr>
            </w:pPr>
          </w:p>
        </w:tc>
        <w:tc>
          <w:tcPr>
            <w:tcW w:w="1687" w:type="dxa"/>
            <w:vMerge/>
            <w:tcBorders>
              <w:left w:val="single" w:sz="4" w:space="0" w:color="auto"/>
              <w:right w:val="single" w:sz="4" w:space="0" w:color="auto"/>
            </w:tcBorders>
            <w:vAlign w:val="center"/>
          </w:tcPr>
          <w:p w14:paraId="5F7C0E78" w14:textId="35B15BAD" w:rsidR="004F7E07" w:rsidRPr="007D2212" w:rsidRDefault="004F7E07" w:rsidP="004F7E07">
            <w:pPr>
              <w:pStyle w:val="IPPArialTable"/>
              <w:rPr>
                <w:rStyle w:val="PleaseReviewParagraphId"/>
              </w:rPr>
            </w:pPr>
          </w:p>
        </w:tc>
        <w:tc>
          <w:tcPr>
            <w:tcW w:w="3685" w:type="dxa"/>
            <w:tcBorders>
              <w:top w:val="nil"/>
              <w:left w:val="nil"/>
              <w:bottom w:val="single" w:sz="4" w:space="0" w:color="auto"/>
              <w:right w:val="single" w:sz="4" w:space="0" w:color="auto"/>
            </w:tcBorders>
            <w:shd w:val="clear" w:color="auto" w:fill="auto"/>
            <w:vAlign w:val="center"/>
          </w:tcPr>
          <w:p w14:paraId="3543FCF8" w14:textId="3E75DE6B" w:rsidR="004F7E07" w:rsidRPr="007D2212" w:rsidRDefault="004F7E07" w:rsidP="001A7CAA">
            <w:pPr>
              <w:pStyle w:val="IPPArialTable"/>
              <w:rPr>
                <w:rStyle w:val="PleaseReviewParagraphId"/>
              </w:rPr>
            </w:pPr>
          </w:p>
        </w:tc>
      </w:tr>
      <w:tr w:rsidR="004F7E07" w:rsidRPr="007D2212" w14:paraId="24ED5A74" w14:textId="77777777" w:rsidTr="004F7E07">
        <w:trPr>
          <w:trHeight w:val="552"/>
        </w:trPr>
        <w:tc>
          <w:tcPr>
            <w:tcW w:w="3700" w:type="dxa"/>
            <w:vMerge/>
            <w:tcBorders>
              <w:left w:val="single" w:sz="4" w:space="0" w:color="auto"/>
              <w:right w:val="single" w:sz="4" w:space="0" w:color="auto"/>
            </w:tcBorders>
            <w:vAlign w:val="center"/>
            <w:hideMark/>
          </w:tcPr>
          <w:p w14:paraId="69890840" w14:textId="67BA3A8F" w:rsidR="004F7E07" w:rsidRPr="007D2212" w:rsidRDefault="004F7E07" w:rsidP="004F7E07">
            <w:pPr>
              <w:pStyle w:val="IPPArialTable"/>
            </w:pPr>
          </w:p>
        </w:tc>
        <w:tc>
          <w:tcPr>
            <w:tcW w:w="1687" w:type="dxa"/>
            <w:vMerge/>
            <w:tcBorders>
              <w:left w:val="single" w:sz="4" w:space="0" w:color="auto"/>
              <w:right w:val="single" w:sz="4" w:space="0" w:color="auto"/>
            </w:tcBorders>
            <w:vAlign w:val="center"/>
            <w:hideMark/>
          </w:tcPr>
          <w:p w14:paraId="490E7436" w14:textId="6BFFABF7" w:rsidR="004F7E07" w:rsidRPr="007D2212" w:rsidRDefault="004F7E07" w:rsidP="004F7E07">
            <w:pPr>
              <w:pStyle w:val="IPPArialTable"/>
            </w:pPr>
          </w:p>
        </w:tc>
        <w:tc>
          <w:tcPr>
            <w:tcW w:w="3685" w:type="dxa"/>
            <w:tcBorders>
              <w:top w:val="nil"/>
              <w:left w:val="nil"/>
              <w:bottom w:val="single" w:sz="4" w:space="0" w:color="auto"/>
              <w:right w:val="single" w:sz="4" w:space="0" w:color="auto"/>
            </w:tcBorders>
            <w:shd w:val="clear" w:color="auto" w:fill="auto"/>
            <w:vAlign w:val="center"/>
            <w:hideMark/>
          </w:tcPr>
          <w:p w14:paraId="2499375B" w14:textId="74916FB2" w:rsidR="004F7E07" w:rsidRPr="007D2212" w:rsidRDefault="004F7E07" w:rsidP="00736AA6">
            <w:pPr>
              <w:pStyle w:val="IPPArialTable"/>
            </w:pPr>
            <w:r w:rsidRPr="007D2212">
              <w:rPr>
                <w:rStyle w:val="PleaseReviewParagraphId"/>
              </w:rPr>
              <w:t>[81]</w:t>
            </w:r>
            <w:r w:rsidRPr="007D2212">
              <w:rPr>
                <w:i/>
              </w:rPr>
              <w:t>Bactrocera</w:t>
            </w:r>
            <w:r w:rsidRPr="007D2212">
              <w:t xml:space="preserve"> </w:t>
            </w:r>
            <w:r w:rsidRPr="007D2212">
              <w:rPr>
                <w:i/>
              </w:rPr>
              <w:t>philippinensis</w:t>
            </w:r>
            <w:r w:rsidRPr="007D2212">
              <w:t xml:space="preserve"> Drew and Hancock, 1994</w:t>
            </w:r>
          </w:p>
        </w:tc>
      </w:tr>
      <w:tr w:rsidR="004F7E07" w:rsidRPr="007D2212" w14:paraId="24461B75" w14:textId="77777777" w:rsidTr="004F7E07">
        <w:trPr>
          <w:trHeight w:val="552"/>
        </w:trPr>
        <w:tc>
          <w:tcPr>
            <w:tcW w:w="3700" w:type="dxa"/>
            <w:vMerge/>
            <w:tcBorders>
              <w:left w:val="single" w:sz="4" w:space="0" w:color="auto"/>
              <w:right w:val="single" w:sz="4" w:space="0" w:color="auto"/>
            </w:tcBorders>
            <w:vAlign w:val="center"/>
            <w:hideMark/>
          </w:tcPr>
          <w:p w14:paraId="40B3D70D" w14:textId="620D6B9A" w:rsidR="004F7E07" w:rsidRPr="007D2212" w:rsidRDefault="004F7E07">
            <w:pPr>
              <w:pStyle w:val="IPPArialTable"/>
            </w:pPr>
          </w:p>
        </w:tc>
        <w:tc>
          <w:tcPr>
            <w:tcW w:w="1687" w:type="dxa"/>
            <w:vMerge/>
            <w:tcBorders>
              <w:left w:val="single" w:sz="4" w:space="0" w:color="auto"/>
              <w:right w:val="single" w:sz="4" w:space="0" w:color="auto"/>
            </w:tcBorders>
            <w:vAlign w:val="center"/>
            <w:hideMark/>
          </w:tcPr>
          <w:p w14:paraId="4E4DEF6E" w14:textId="007C167A" w:rsidR="004F7E07" w:rsidRPr="007D2212" w:rsidRDefault="004F7E07">
            <w:pPr>
              <w:pStyle w:val="IPPArialTable"/>
            </w:pPr>
          </w:p>
        </w:tc>
        <w:tc>
          <w:tcPr>
            <w:tcW w:w="3685" w:type="dxa"/>
            <w:tcBorders>
              <w:top w:val="nil"/>
              <w:left w:val="nil"/>
              <w:bottom w:val="single" w:sz="4" w:space="0" w:color="auto"/>
              <w:right w:val="single" w:sz="4" w:space="0" w:color="auto"/>
            </w:tcBorders>
            <w:shd w:val="clear" w:color="auto" w:fill="auto"/>
            <w:vAlign w:val="center"/>
            <w:hideMark/>
          </w:tcPr>
          <w:p w14:paraId="1EE72368" w14:textId="0A76EA0F" w:rsidR="004F7E07" w:rsidRPr="007D2212" w:rsidRDefault="004F7E07" w:rsidP="001A7CAA">
            <w:pPr>
              <w:pStyle w:val="IPPArialTable"/>
            </w:pPr>
            <w:r w:rsidRPr="007D2212">
              <w:rPr>
                <w:rStyle w:val="PleaseReviewParagraphId"/>
              </w:rPr>
              <w:t>[84]</w:t>
            </w:r>
            <w:r w:rsidRPr="007D2212">
              <w:rPr>
                <w:i/>
              </w:rPr>
              <w:t>Bactrocera</w:t>
            </w:r>
            <w:r w:rsidRPr="007D2212">
              <w:t xml:space="preserve"> </w:t>
            </w:r>
            <w:r w:rsidRPr="007D2212">
              <w:rPr>
                <w:i/>
              </w:rPr>
              <w:t>papayae</w:t>
            </w:r>
            <w:r w:rsidRPr="007D2212">
              <w:t xml:space="preserve"> Drew and Hancock, 1994</w:t>
            </w:r>
          </w:p>
        </w:tc>
      </w:tr>
      <w:tr w:rsidR="004F7E07" w:rsidRPr="007D2212" w14:paraId="4BA64BA7" w14:textId="77777777" w:rsidTr="004F7E07">
        <w:trPr>
          <w:trHeight w:val="552"/>
        </w:trPr>
        <w:tc>
          <w:tcPr>
            <w:tcW w:w="3700" w:type="dxa"/>
            <w:vMerge/>
            <w:tcBorders>
              <w:left w:val="single" w:sz="4" w:space="0" w:color="auto"/>
              <w:bottom w:val="single" w:sz="4" w:space="0" w:color="auto"/>
              <w:right w:val="single" w:sz="4" w:space="0" w:color="auto"/>
            </w:tcBorders>
            <w:vAlign w:val="center"/>
          </w:tcPr>
          <w:p w14:paraId="78B8C7BE" w14:textId="77777777" w:rsidR="004F7E07" w:rsidRPr="007D2212" w:rsidRDefault="004F7E07">
            <w:pPr>
              <w:pStyle w:val="IPPArialTable"/>
              <w:rPr>
                <w:rStyle w:val="PleaseReviewParagraphId"/>
              </w:rPr>
            </w:pPr>
          </w:p>
        </w:tc>
        <w:tc>
          <w:tcPr>
            <w:tcW w:w="1687" w:type="dxa"/>
            <w:vMerge/>
            <w:tcBorders>
              <w:left w:val="single" w:sz="4" w:space="0" w:color="auto"/>
              <w:bottom w:val="single" w:sz="4" w:space="0" w:color="auto"/>
              <w:right w:val="single" w:sz="4" w:space="0" w:color="auto"/>
            </w:tcBorders>
            <w:vAlign w:val="center"/>
          </w:tcPr>
          <w:p w14:paraId="63D3BC6E" w14:textId="77777777" w:rsidR="004F7E07" w:rsidRPr="007D2212" w:rsidRDefault="004F7E07">
            <w:pPr>
              <w:pStyle w:val="IPPArialTable"/>
              <w:rPr>
                <w:rStyle w:val="PleaseReviewParagraphId"/>
              </w:rPr>
            </w:pPr>
          </w:p>
        </w:tc>
        <w:tc>
          <w:tcPr>
            <w:tcW w:w="3685" w:type="dxa"/>
            <w:tcBorders>
              <w:top w:val="nil"/>
              <w:left w:val="nil"/>
              <w:bottom w:val="single" w:sz="4" w:space="0" w:color="auto"/>
              <w:right w:val="single" w:sz="4" w:space="0" w:color="auto"/>
            </w:tcBorders>
            <w:shd w:val="clear" w:color="auto" w:fill="auto"/>
            <w:vAlign w:val="center"/>
          </w:tcPr>
          <w:p w14:paraId="4CF0C444" w14:textId="4519AACF" w:rsidR="004F7E07" w:rsidRPr="007D2212" w:rsidRDefault="004F7E07" w:rsidP="001A7CAA">
            <w:pPr>
              <w:pStyle w:val="IPPArialTable"/>
              <w:rPr>
                <w:rStyle w:val="PleaseReviewParagraphId"/>
              </w:rPr>
            </w:pPr>
            <w:r w:rsidRPr="007D2212">
              <w:rPr>
                <w:i/>
              </w:rPr>
              <w:t>Bactrocera</w:t>
            </w:r>
            <w:r w:rsidRPr="007D2212">
              <w:t xml:space="preserve"> </w:t>
            </w:r>
            <w:r w:rsidRPr="007D2212">
              <w:rPr>
                <w:i/>
              </w:rPr>
              <w:t>invadens</w:t>
            </w:r>
            <w:r w:rsidRPr="007D2212">
              <w:t xml:space="preserve"> Drew </w:t>
            </w:r>
            <w:r w:rsidRPr="007D2212">
              <w:rPr>
                <w:i/>
              </w:rPr>
              <w:t>et</w:t>
            </w:r>
            <w:r w:rsidRPr="007D2212">
              <w:rPr>
                <w:rFonts w:cs="Arial"/>
                <w:i/>
                <w:color w:val="000000"/>
                <w:szCs w:val="18"/>
              </w:rPr>
              <w:t> </w:t>
            </w:r>
            <w:r w:rsidRPr="007D2212">
              <w:rPr>
                <w:i/>
              </w:rPr>
              <w:t>al.</w:t>
            </w:r>
            <w:r w:rsidRPr="007D2212">
              <w:t>, 2005</w:t>
            </w:r>
          </w:p>
        </w:tc>
      </w:tr>
      <w:tr w:rsidR="00612969" w:rsidRPr="007D2212" w14:paraId="26E67587" w14:textId="77777777">
        <w:trPr>
          <w:trHeight w:val="552"/>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309826B4" w14:textId="77777777" w:rsidR="00612969" w:rsidRPr="007D2212" w:rsidRDefault="00E97743">
            <w:pPr>
              <w:pStyle w:val="IPPArialTable"/>
            </w:pPr>
            <w:r w:rsidRPr="007D2212">
              <w:rPr>
                <w:rStyle w:val="PleaseReviewParagraphId"/>
              </w:rPr>
              <w:t>[85]</w:t>
            </w:r>
            <w:r w:rsidRPr="007D2212">
              <w:rPr>
                <w:i/>
              </w:rPr>
              <w:t>Bactrocera</w:t>
            </w:r>
            <w:r w:rsidRPr="007D2212">
              <w:t xml:space="preserve"> (</w:t>
            </w:r>
            <w:r w:rsidRPr="007D2212">
              <w:rPr>
                <w:i/>
              </w:rPr>
              <w:t>Bactrocera</w:t>
            </w:r>
            <w:r w:rsidRPr="007D2212">
              <w:t xml:space="preserve">) </w:t>
            </w:r>
            <w:r w:rsidRPr="007D2212">
              <w:rPr>
                <w:i/>
              </w:rPr>
              <w:t>kandiensis</w:t>
            </w:r>
            <w:r w:rsidRPr="007D2212">
              <w:t xml:space="preserve"> Drew and Hancock, 1994</w:t>
            </w:r>
          </w:p>
        </w:tc>
        <w:tc>
          <w:tcPr>
            <w:tcW w:w="1687" w:type="dxa"/>
            <w:tcBorders>
              <w:top w:val="nil"/>
              <w:left w:val="nil"/>
              <w:bottom w:val="single" w:sz="4" w:space="0" w:color="auto"/>
              <w:right w:val="single" w:sz="4" w:space="0" w:color="auto"/>
            </w:tcBorders>
            <w:shd w:val="clear" w:color="auto" w:fill="auto"/>
            <w:vAlign w:val="center"/>
            <w:hideMark/>
          </w:tcPr>
          <w:p w14:paraId="5811A101" w14:textId="77777777" w:rsidR="00612969" w:rsidRPr="007D2212" w:rsidRDefault="00E97743">
            <w:pPr>
              <w:pStyle w:val="IPPArialTable"/>
            </w:pPr>
            <w:r w:rsidRPr="007D2212">
              <w:rPr>
                <w:rStyle w:val="PleaseReviewParagraphId"/>
              </w:rPr>
              <w:t>[86]</w:t>
            </w:r>
            <w:r w:rsidRPr="007D2212">
              <w:t> </w:t>
            </w:r>
          </w:p>
        </w:tc>
        <w:tc>
          <w:tcPr>
            <w:tcW w:w="3685" w:type="dxa"/>
            <w:tcBorders>
              <w:top w:val="nil"/>
              <w:left w:val="nil"/>
              <w:bottom w:val="single" w:sz="4" w:space="0" w:color="auto"/>
              <w:right w:val="single" w:sz="4" w:space="0" w:color="auto"/>
            </w:tcBorders>
            <w:shd w:val="clear" w:color="auto" w:fill="auto"/>
            <w:vAlign w:val="center"/>
            <w:hideMark/>
          </w:tcPr>
          <w:p w14:paraId="375A867F" w14:textId="6FCE9DD9" w:rsidR="00612969" w:rsidRPr="007D2212" w:rsidRDefault="00E97743" w:rsidP="0038578A">
            <w:pPr>
              <w:pStyle w:val="IPPArialTable"/>
            </w:pPr>
            <w:r w:rsidRPr="007D2212">
              <w:rPr>
                <w:rStyle w:val="PleaseReviewParagraphId"/>
              </w:rPr>
              <w:t>[87]</w:t>
            </w:r>
            <w:r w:rsidR="0038578A">
              <w:rPr>
                <w:rStyle w:val="PleaseReviewParagraphId"/>
              </w:rPr>
              <w:t xml:space="preserve"> None. </w:t>
            </w:r>
          </w:p>
        </w:tc>
      </w:tr>
      <w:tr w:rsidR="004F7E07" w:rsidRPr="007D2212" w14:paraId="6EF4768B" w14:textId="77777777" w:rsidTr="004F7E07">
        <w:trPr>
          <w:trHeight w:val="552"/>
        </w:trPr>
        <w:tc>
          <w:tcPr>
            <w:tcW w:w="3700" w:type="dxa"/>
            <w:vMerge w:val="restart"/>
            <w:tcBorders>
              <w:top w:val="nil"/>
              <w:left w:val="single" w:sz="4" w:space="0" w:color="auto"/>
              <w:right w:val="single" w:sz="4" w:space="0" w:color="auto"/>
            </w:tcBorders>
            <w:shd w:val="clear" w:color="auto" w:fill="auto"/>
            <w:vAlign w:val="center"/>
            <w:hideMark/>
          </w:tcPr>
          <w:p w14:paraId="3947E7DA" w14:textId="77777777" w:rsidR="004F7E07" w:rsidRPr="007D2212" w:rsidRDefault="004F7E07">
            <w:pPr>
              <w:pStyle w:val="IPPArialTable"/>
            </w:pPr>
            <w:r w:rsidRPr="007D2212">
              <w:rPr>
                <w:rStyle w:val="PleaseReviewParagraphId"/>
              </w:rPr>
              <w:t>[88]</w:t>
            </w:r>
            <w:r w:rsidRPr="007D2212">
              <w:rPr>
                <w:i/>
              </w:rPr>
              <w:t>Bactrocera</w:t>
            </w:r>
            <w:r w:rsidRPr="007D2212">
              <w:t xml:space="preserve"> (</w:t>
            </w:r>
            <w:r w:rsidRPr="007D2212">
              <w:rPr>
                <w:i/>
              </w:rPr>
              <w:t>Bactrocera</w:t>
            </w:r>
            <w:r w:rsidRPr="007D2212">
              <w:t xml:space="preserve">) </w:t>
            </w:r>
            <w:r w:rsidRPr="007D2212">
              <w:rPr>
                <w:i/>
              </w:rPr>
              <w:t>occipitalis</w:t>
            </w:r>
            <w:r w:rsidRPr="007D2212">
              <w:t xml:space="preserve"> (Bezzi, 1919)</w:t>
            </w:r>
          </w:p>
          <w:p w14:paraId="169655AA" w14:textId="77777777" w:rsidR="004F7E07" w:rsidRPr="007D2212" w:rsidRDefault="004F7E07">
            <w:pPr>
              <w:pStyle w:val="IPPArialTable"/>
            </w:pPr>
            <w:r w:rsidRPr="007D2212">
              <w:rPr>
                <w:rStyle w:val="PleaseReviewParagraphId"/>
              </w:rPr>
              <w:t>[91]</w:t>
            </w:r>
          </w:p>
          <w:p w14:paraId="20610877" w14:textId="77777777" w:rsidR="004F7E07" w:rsidRPr="007D2212" w:rsidRDefault="004F7E07">
            <w:pPr>
              <w:pStyle w:val="IPPArialTable"/>
            </w:pPr>
            <w:r w:rsidRPr="007D2212">
              <w:rPr>
                <w:rStyle w:val="PleaseReviewParagraphId"/>
              </w:rPr>
              <w:t>[94]</w:t>
            </w:r>
          </w:p>
          <w:p w14:paraId="458E8F6D" w14:textId="77777777" w:rsidR="004F7E07" w:rsidRPr="007D2212" w:rsidRDefault="004F7E07">
            <w:pPr>
              <w:pStyle w:val="IPPArialTable"/>
            </w:pPr>
            <w:r w:rsidRPr="007D2212">
              <w:rPr>
                <w:rStyle w:val="PleaseReviewParagraphId"/>
              </w:rPr>
              <w:t>[97]</w:t>
            </w:r>
          </w:p>
          <w:p w14:paraId="72378924" w14:textId="09212C68" w:rsidR="004F7E07" w:rsidRPr="007D2212" w:rsidRDefault="004F7E07" w:rsidP="004F7E07">
            <w:pPr>
              <w:pStyle w:val="IPPArialTable"/>
            </w:pPr>
            <w:r w:rsidRPr="007D2212">
              <w:rPr>
                <w:rStyle w:val="PleaseReviewParagraphId"/>
              </w:rPr>
              <w:t>[100]</w:t>
            </w:r>
          </w:p>
        </w:tc>
        <w:tc>
          <w:tcPr>
            <w:tcW w:w="1687" w:type="dxa"/>
            <w:vMerge w:val="restart"/>
            <w:tcBorders>
              <w:top w:val="nil"/>
              <w:left w:val="single" w:sz="4" w:space="0" w:color="auto"/>
              <w:right w:val="single" w:sz="4" w:space="0" w:color="auto"/>
            </w:tcBorders>
            <w:shd w:val="clear" w:color="auto" w:fill="auto"/>
            <w:vAlign w:val="center"/>
            <w:hideMark/>
          </w:tcPr>
          <w:p w14:paraId="020419F1" w14:textId="77777777" w:rsidR="004F7E07" w:rsidRPr="007D2212" w:rsidRDefault="004F7E07">
            <w:pPr>
              <w:pStyle w:val="IPPArialTable"/>
            </w:pPr>
            <w:r w:rsidRPr="007D2212">
              <w:rPr>
                <w:rStyle w:val="PleaseReviewParagraphId"/>
              </w:rPr>
              <w:t>[89]</w:t>
            </w:r>
            <w:r w:rsidRPr="007D2212">
              <w:t> </w:t>
            </w:r>
          </w:p>
          <w:p w14:paraId="7263EDE4" w14:textId="77777777" w:rsidR="004F7E07" w:rsidRPr="007D2212" w:rsidRDefault="004F7E07">
            <w:pPr>
              <w:pStyle w:val="IPPArialTable"/>
            </w:pPr>
            <w:r w:rsidRPr="007D2212">
              <w:rPr>
                <w:rStyle w:val="PleaseReviewParagraphId"/>
              </w:rPr>
              <w:t>[92]</w:t>
            </w:r>
          </w:p>
          <w:p w14:paraId="7EAA3EA2" w14:textId="77777777" w:rsidR="004F7E07" w:rsidRPr="007D2212" w:rsidRDefault="004F7E07">
            <w:pPr>
              <w:pStyle w:val="IPPArialTable"/>
            </w:pPr>
            <w:r w:rsidRPr="007D2212">
              <w:rPr>
                <w:rStyle w:val="PleaseReviewParagraphId"/>
              </w:rPr>
              <w:t>[95]</w:t>
            </w:r>
          </w:p>
          <w:p w14:paraId="6431D8E4" w14:textId="77777777" w:rsidR="004F7E07" w:rsidRPr="007D2212" w:rsidRDefault="004F7E07">
            <w:pPr>
              <w:pStyle w:val="IPPArialTable"/>
            </w:pPr>
            <w:r w:rsidRPr="007D2212">
              <w:rPr>
                <w:rStyle w:val="PleaseReviewParagraphId"/>
              </w:rPr>
              <w:t>[98]</w:t>
            </w:r>
          </w:p>
          <w:p w14:paraId="579526C2" w14:textId="675A8F66" w:rsidR="004F7E07" w:rsidRPr="007D2212" w:rsidRDefault="004F7E07" w:rsidP="004F7E07">
            <w:pPr>
              <w:pStyle w:val="IPPArialTable"/>
            </w:pPr>
            <w:r w:rsidRPr="007D2212">
              <w:rPr>
                <w:rStyle w:val="PleaseReviewParagraphId"/>
              </w:rPr>
              <w:t>[101]</w:t>
            </w:r>
          </w:p>
        </w:tc>
        <w:tc>
          <w:tcPr>
            <w:tcW w:w="3685" w:type="dxa"/>
            <w:tcBorders>
              <w:top w:val="nil"/>
              <w:left w:val="nil"/>
              <w:bottom w:val="single" w:sz="4" w:space="0" w:color="auto"/>
              <w:right w:val="single" w:sz="4" w:space="0" w:color="auto"/>
            </w:tcBorders>
            <w:shd w:val="clear" w:color="auto" w:fill="auto"/>
            <w:vAlign w:val="center"/>
            <w:hideMark/>
          </w:tcPr>
          <w:p w14:paraId="0FFCC3E9" w14:textId="77777777" w:rsidR="004F7E07" w:rsidRPr="007D2212" w:rsidRDefault="004F7E07">
            <w:pPr>
              <w:pStyle w:val="IPPArialTable"/>
            </w:pPr>
            <w:r w:rsidRPr="007D2212">
              <w:rPr>
                <w:rStyle w:val="PleaseReviewParagraphId"/>
              </w:rPr>
              <w:t>[90]</w:t>
            </w:r>
            <w:r w:rsidRPr="007D2212">
              <w:rPr>
                <w:i/>
              </w:rPr>
              <w:t>Chaetodacus ferrugineus</w:t>
            </w:r>
            <w:r w:rsidRPr="007D2212">
              <w:t xml:space="preserve"> var. </w:t>
            </w:r>
            <w:r w:rsidRPr="007D2212">
              <w:rPr>
                <w:i/>
              </w:rPr>
              <w:t>occipitalis</w:t>
            </w:r>
            <w:r w:rsidRPr="007D2212">
              <w:t xml:space="preserve"> Bezzi, 1919; Drew and Hancock, 1994</w:t>
            </w:r>
          </w:p>
        </w:tc>
      </w:tr>
      <w:tr w:rsidR="004F7E07" w:rsidRPr="007D2212" w14:paraId="189DCBE9" w14:textId="77777777" w:rsidTr="004F7E07">
        <w:trPr>
          <w:trHeight w:val="828"/>
        </w:trPr>
        <w:tc>
          <w:tcPr>
            <w:tcW w:w="3700" w:type="dxa"/>
            <w:vMerge/>
            <w:tcBorders>
              <w:left w:val="single" w:sz="4" w:space="0" w:color="auto"/>
              <w:right w:val="single" w:sz="4" w:space="0" w:color="auto"/>
            </w:tcBorders>
            <w:vAlign w:val="center"/>
            <w:hideMark/>
          </w:tcPr>
          <w:p w14:paraId="3374957A" w14:textId="52704D07" w:rsidR="004F7E07" w:rsidRPr="007D2212" w:rsidRDefault="004F7E07" w:rsidP="004F7E07">
            <w:pPr>
              <w:pStyle w:val="IPPArialTable"/>
            </w:pPr>
          </w:p>
        </w:tc>
        <w:tc>
          <w:tcPr>
            <w:tcW w:w="1687" w:type="dxa"/>
            <w:vMerge/>
            <w:tcBorders>
              <w:left w:val="single" w:sz="4" w:space="0" w:color="auto"/>
              <w:right w:val="single" w:sz="4" w:space="0" w:color="auto"/>
            </w:tcBorders>
            <w:vAlign w:val="center"/>
            <w:hideMark/>
          </w:tcPr>
          <w:p w14:paraId="1A974137" w14:textId="27B2661C" w:rsidR="004F7E07" w:rsidRPr="007D2212" w:rsidRDefault="004F7E07" w:rsidP="004F7E07">
            <w:pPr>
              <w:pStyle w:val="IPPArialTable"/>
            </w:pPr>
          </w:p>
        </w:tc>
        <w:tc>
          <w:tcPr>
            <w:tcW w:w="3685" w:type="dxa"/>
            <w:tcBorders>
              <w:top w:val="nil"/>
              <w:left w:val="nil"/>
              <w:bottom w:val="single" w:sz="4" w:space="0" w:color="auto"/>
              <w:right w:val="single" w:sz="4" w:space="0" w:color="auto"/>
            </w:tcBorders>
            <w:shd w:val="clear" w:color="auto" w:fill="auto"/>
            <w:vAlign w:val="center"/>
            <w:hideMark/>
          </w:tcPr>
          <w:p w14:paraId="37AD90EE" w14:textId="77777777" w:rsidR="004F7E07" w:rsidRPr="007D2212" w:rsidRDefault="004F7E07">
            <w:pPr>
              <w:pStyle w:val="IPPArialTable"/>
            </w:pPr>
            <w:r w:rsidRPr="007D2212">
              <w:rPr>
                <w:rStyle w:val="PleaseReviewParagraphId"/>
              </w:rPr>
              <w:t>[93]</w:t>
            </w:r>
            <w:r w:rsidRPr="007D2212">
              <w:rPr>
                <w:i/>
              </w:rPr>
              <w:t>Dacus</w:t>
            </w:r>
            <w:r w:rsidRPr="007D2212">
              <w:t xml:space="preserve"> (</w:t>
            </w:r>
            <w:r w:rsidRPr="007D2212">
              <w:rPr>
                <w:i/>
              </w:rPr>
              <w:t>Strumeta</w:t>
            </w:r>
            <w:r w:rsidRPr="007D2212">
              <w:t xml:space="preserve">) </w:t>
            </w:r>
            <w:r w:rsidRPr="007D2212">
              <w:rPr>
                <w:i/>
              </w:rPr>
              <w:t>dorsalis</w:t>
            </w:r>
            <w:r w:rsidRPr="007D2212">
              <w:t xml:space="preserve"> var. </w:t>
            </w:r>
            <w:r w:rsidRPr="007D2212">
              <w:rPr>
                <w:i/>
              </w:rPr>
              <w:t>occipitalis</w:t>
            </w:r>
            <w:r w:rsidRPr="007D2212">
              <w:t xml:space="preserve"> (Bezzi, 1919); Hardy and Adachi, 1954; Hardy, 1969</w:t>
            </w:r>
          </w:p>
        </w:tc>
      </w:tr>
      <w:tr w:rsidR="004F7E07" w:rsidRPr="007D2212" w14:paraId="3B5E431B" w14:textId="77777777" w:rsidTr="004F7E07">
        <w:trPr>
          <w:trHeight w:val="552"/>
        </w:trPr>
        <w:tc>
          <w:tcPr>
            <w:tcW w:w="3700" w:type="dxa"/>
            <w:vMerge/>
            <w:tcBorders>
              <w:left w:val="single" w:sz="4" w:space="0" w:color="auto"/>
              <w:right w:val="single" w:sz="4" w:space="0" w:color="auto"/>
            </w:tcBorders>
            <w:vAlign w:val="center"/>
            <w:hideMark/>
          </w:tcPr>
          <w:p w14:paraId="78A46E20" w14:textId="5FFE5A83" w:rsidR="004F7E07" w:rsidRPr="007D2212" w:rsidRDefault="004F7E07" w:rsidP="004F7E07">
            <w:pPr>
              <w:pStyle w:val="IPPArialTable"/>
            </w:pPr>
          </w:p>
        </w:tc>
        <w:tc>
          <w:tcPr>
            <w:tcW w:w="1687" w:type="dxa"/>
            <w:vMerge/>
            <w:tcBorders>
              <w:left w:val="single" w:sz="4" w:space="0" w:color="auto"/>
              <w:right w:val="single" w:sz="4" w:space="0" w:color="auto"/>
            </w:tcBorders>
            <w:vAlign w:val="center"/>
            <w:hideMark/>
          </w:tcPr>
          <w:p w14:paraId="5721C293" w14:textId="36E4E83F" w:rsidR="004F7E07" w:rsidRPr="007D2212" w:rsidRDefault="004F7E07" w:rsidP="004F7E07">
            <w:pPr>
              <w:pStyle w:val="IPPArialTable"/>
            </w:pPr>
          </w:p>
        </w:tc>
        <w:tc>
          <w:tcPr>
            <w:tcW w:w="3685" w:type="dxa"/>
            <w:tcBorders>
              <w:top w:val="nil"/>
              <w:left w:val="nil"/>
              <w:bottom w:val="single" w:sz="4" w:space="0" w:color="auto"/>
              <w:right w:val="single" w:sz="4" w:space="0" w:color="auto"/>
            </w:tcBorders>
            <w:shd w:val="clear" w:color="auto" w:fill="auto"/>
            <w:vAlign w:val="center"/>
            <w:hideMark/>
          </w:tcPr>
          <w:p w14:paraId="45327278" w14:textId="77777777" w:rsidR="004F7E07" w:rsidRPr="007D2212" w:rsidRDefault="004F7E07">
            <w:pPr>
              <w:pStyle w:val="IPPArialTable"/>
            </w:pPr>
            <w:r w:rsidRPr="007D2212">
              <w:rPr>
                <w:rStyle w:val="PleaseReviewParagraphId"/>
              </w:rPr>
              <w:t>[96]</w:t>
            </w:r>
            <w:r w:rsidRPr="007D2212">
              <w:rPr>
                <w:i/>
              </w:rPr>
              <w:t>Dacus</w:t>
            </w:r>
            <w:r w:rsidRPr="007D2212">
              <w:t xml:space="preserve"> (</w:t>
            </w:r>
            <w:r w:rsidRPr="007D2212">
              <w:rPr>
                <w:i/>
              </w:rPr>
              <w:t>Strumeta</w:t>
            </w:r>
            <w:r w:rsidRPr="007D2212">
              <w:t xml:space="preserve">) </w:t>
            </w:r>
            <w:r w:rsidRPr="007D2212">
              <w:rPr>
                <w:i/>
              </w:rPr>
              <w:t>occipitalis</w:t>
            </w:r>
            <w:r w:rsidRPr="007D2212">
              <w:t xml:space="preserve"> (Bezzi, 1919); Hardy, 1974</w:t>
            </w:r>
          </w:p>
        </w:tc>
      </w:tr>
      <w:tr w:rsidR="004F7E07" w:rsidRPr="00CC40B0" w14:paraId="55F4FA66" w14:textId="77777777" w:rsidTr="004F7E07">
        <w:trPr>
          <w:trHeight w:val="552"/>
        </w:trPr>
        <w:tc>
          <w:tcPr>
            <w:tcW w:w="3700" w:type="dxa"/>
            <w:vMerge/>
            <w:tcBorders>
              <w:left w:val="single" w:sz="4" w:space="0" w:color="auto"/>
              <w:right w:val="single" w:sz="4" w:space="0" w:color="auto"/>
            </w:tcBorders>
            <w:vAlign w:val="center"/>
            <w:hideMark/>
          </w:tcPr>
          <w:p w14:paraId="2A4130A9" w14:textId="79AF4742" w:rsidR="004F7E07" w:rsidRPr="007D2212" w:rsidRDefault="004F7E07" w:rsidP="004F7E07">
            <w:pPr>
              <w:pStyle w:val="IPPArialTable"/>
            </w:pPr>
          </w:p>
        </w:tc>
        <w:tc>
          <w:tcPr>
            <w:tcW w:w="1687" w:type="dxa"/>
            <w:vMerge/>
            <w:tcBorders>
              <w:left w:val="single" w:sz="4" w:space="0" w:color="auto"/>
              <w:right w:val="single" w:sz="4" w:space="0" w:color="auto"/>
            </w:tcBorders>
            <w:vAlign w:val="center"/>
            <w:hideMark/>
          </w:tcPr>
          <w:p w14:paraId="21F492AC" w14:textId="5A95A642" w:rsidR="004F7E07" w:rsidRPr="007D2212" w:rsidRDefault="004F7E07" w:rsidP="004F7E07">
            <w:pPr>
              <w:pStyle w:val="IPPArialTable"/>
            </w:pPr>
          </w:p>
        </w:tc>
        <w:tc>
          <w:tcPr>
            <w:tcW w:w="3685" w:type="dxa"/>
            <w:tcBorders>
              <w:top w:val="nil"/>
              <w:left w:val="nil"/>
              <w:bottom w:val="single" w:sz="4" w:space="0" w:color="auto"/>
              <w:right w:val="single" w:sz="4" w:space="0" w:color="auto"/>
            </w:tcBorders>
            <w:shd w:val="clear" w:color="auto" w:fill="auto"/>
            <w:vAlign w:val="center"/>
            <w:hideMark/>
          </w:tcPr>
          <w:p w14:paraId="3EAB8AB4" w14:textId="4DA0B02E" w:rsidR="004F7E07" w:rsidRPr="00A4522D" w:rsidRDefault="004F7E07" w:rsidP="00CC2447">
            <w:pPr>
              <w:pStyle w:val="IPPArialTable"/>
              <w:rPr>
                <w:lang w:val="es-ES"/>
              </w:rPr>
            </w:pPr>
            <w:r w:rsidRPr="00A4522D">
              <w:rPr>
                <w:rStyle w:val="PleaseReviewParagraphId"/>
                <w:lang w:val="es-ES"/>
              </w:rPr>
              <w:t>[99]</w:t>
            </w:r>
          </w:p>
        </w:tc>
      </w:tr>
      <w:tr w:rsidR="004F7E07" w:rsidRPr="007D2212" w14:paraId="72354D53" w14:textId="77777777" w:rsidTr="004F7E07">
        <w:trPr>
          <w:trHeight w:val="552"/>
        </w:trPr>
        <w:tc>
          <w:tcPr>
            <w:tcW w:w="3700" w:type="dxa"/>
            <w:vMerge/>
            <w:tcBorders>
              <w:left w:val="single" w:sz="4" w:space="0" w:color="auto"/>
              <w:bottom w:val="single" w:sz="4" w:space="0" w:color="auto"/>
              <w:right w:val="single" w:sz="4" w:space="0" w:color="auto"/>
            </w:tcBorders>
            <w:vAlign w:val="center"/>
            <w:hideMark/>
          </w:tcPr>
          <w:p w14:paraId="3237012F" w14:textId="2D104156" w:rsidR="004F7E07" w:rsidRPr="007D2212" w:rsidRDefault="004F7E07">
            <w:pPr>
              <w:pStyle w:val="IPPArialTable"/>
            </w:pPr>
          </w:p>
        </w:tc>
        <w:tc>
          <w:tcPr>
            <w:tcW w:w="1687" w:type="dxa"/>
            <w:vMerge/>
            <w:tcBorders>
              <w:left w:val="single" w:sz="4" w:space="0" w:color="auto"/>
              <w:bottom w:val="single" w:sz="4" w:space="0" w:color="auto"/>
              <w:right w:val="single" w:sz="4" w:space="0" w:color="auto"/>
            </w:tcBorders>
            <w:vAlign w:val="center"/>
            <w:hideMark/>
          </w:tcPr>
          <w:p w14:paraId="033531A8" w14:textId="55524821" w:rsidR="004F7E07" w:rsidRPr="007D2212" w:rsidRDefault="004F7E07">
            <w:pPr>
              <w:pStyle w:val="IPPArialTable"/>
            </w:pPr>
          </w:p>
        </w:tc>
        <w:tc>
          <w:tcPr>
            <w:tcW w:w="3685" w:type="dxa"/>
            <w:tcBorders>
              <w:top w:val="nil"/>
              <w:left w:val="nil"/>
              <w:bottom w:val="single" w:sz="4" w:space="0" w:color="auto"/>
              <w:right w:val="single" w:sz="4" w:space="0" w:color="auto"/>
            </w:tcBorders>
            <w:shd w:val="clear" w:color="auto" w:fill="auto"/>
            <w:vAlign w:val="center"/>
            <w:hideMark/>
          </w:tcPr>
          <w:p w14:paraId="2ABEBBBF" w14:textId="47556198" w:rsidR="004F7E07" w:rsidRPr="007D2212" w:rsidRDefault="004F7E07" w:rsidP="001B2CCE">
            <w:pPr>
              <w:pStyle w:val="IPPArialTable"/>
            </w:pPr>
            <w:r w:rsidRPr="007D2212">
              <w:rPr>
                <w:rStyle w:val="PleaseReviewParagraphId"/>
              </w:rPr>
              <w:t>[102]</w:t>
            </w:r>
          </w:p>
        </w:tc>
      </w:tr>
      <w:tr w:rsidR="00612969" w:rsidRPr="007D2212" w14:paraId="74A0CF9C" w14:textId="77777777">
        <w:trPr>
          <w:trHeight w:val="552"/>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01E4702D" w14:textId="77777777" w:rsidR="00612969" w:rsidRPr="007D2212" w:rsidRDefault="00E97743">
            <w:pPr>
              <w:pStyle w:val="IPPArialTable"/>
            </w:pPr>
            <w:r w:rsidRPr="007D2212">
              <w:rPr>
                <w:rStyle w:val="PleaseReviewParagraphId"/>
              </w:rPr>
              <w:t>[103]</w:t>
            </w:r>
            <w:r w:rsidRPr="007D2212">
              <w:rPr>
                <w:i/>
              </w:rPr>
              <w:t>Bactrocera</w:t>
            </w:r>
            <w:r w:rsidRPr="007D2212">
              <w:t xml:space="preserve"> (</w:t>
            </w:r>
            <w:r w:rsidRPr="007D2212">
              <w:rPr>
                <w:i/>
              </w:rPr>
              <w:t>Bactrocera</w:t>
            </w:r>
            <w:r w:rsidRPr="007D2212">
              <w:t xml:space="preserve">) </w:t>
            </w:r>
            <w:r w:rsidRPr="007D2212">
              <w:rPr>
                <w:i/>
              </w:rPr>
              <w:t>pyrifoliae</w:t>
            </w:r>
            <w:r w:rsidRPr="007D2212">
              <w:t xml:space="preserve"> Drew and Hancock, 1994</w:t>
            </w:r>
          </w:p>
        </w:tc>
        <w:tc>
          <w:tcPr>
            <w:tcW w:w="1687" w:type="dxa"/>
            <w:tcBorders>
              <w:top w:val="nil"/>
              <w:left w:val="nil"/>
              <w:bottom w:val="single" w:sz="4" w:space="0" w:color="auto"/>
              <w:right w:val="single" w:sz="4" w:space="0" w:color="auto"/>
            </w:tcBorders>
            <w:shd w:val="clear" w:color="auto" w:fill="auto"/>
            <w:vAlign w:val="center"/>
            <w:hideMark/>
          </w:tcPr>
          <w:p w14:paraId="33B02E1D" w14:textId="77777777" w:rsidR="00612969" w:rsidRPr="007D2212" w:rsidRDefault="00E97743">
            <w:pPr>
              <w:pStyle w:val="IPPArialTable"/>
            </w:pPr>
            <w:r w:rsidRPr="007D2212">
              <w:rPr>
                <w:rStyle w:val="PleaseReviewParagraphId"/>
              </w:rPr>
              <w:t>[104]</w:t>
            </w:r>
            <w:r w:rsidRPr="007D2212">
              <w:t> </w:t>
            </w:r>
          </w:p>
        </w:tc>
        <w:tc>
          <w:tcPr>
            <w:tcW w:w="3685" w:type="dxa"/>
            <w:tcBorders>
              <w:top w:val="nil"/>
              <w:left w:val="nil"/>
              <w:bottom w:val="single" w:sz="4" w:space="0" w:color="auto"/>
              <w:right w:val="single" w:sz="4" w:space="0" w:color="auto"/>
            </w:tcBorders>
            <w:shd w:val="clear" w:color="auto" w:fill="auto"/>
            <w:vAlign w:val="center"/>
            <w:hideMark/>
          </w:tcPr>
          <w:p w14:paraId="08E5D81F" w14:textId="77777777" w:rsidR="00612969" w:rsidRPr="007D2212" w:rsidRDefault="00E97743">
            <w:pPr>
              <w:pStyle w:val="IPPArialTable"/>
            </w:pPr>
            <w:r w:rsidRPr="007D2212">
              <w:rPr>
                <w:rStyle w:val="PleaseReviewParagraphId"/>
              </w:rPr>
              <w:t>[105]</w:t>
            </w:r>
            <w:r w:rsidRPr="007D2212">
              <w:t>None</w:t>
            </w:r>
          </w:p>
        </w:tc>
      </w:tr>
    </w:tbl>
    <w:p w14:paraId="58499645" w14:textId="77777777" w:rsidR="00612969" w:rsidRPr="007D2212" w:rsidRDefault="00E97743">
      <w:pPr>
        <w:pStyle w:val="IPPHeading1"/>
      </w:pPr>
      <w:r w:rsidRPr="007D2212">
        <w:rPr>
          <w:rStyle w:val="PleaseReviewParagraphId"/>
          <w:b w:val="0"/>
        </w:rPr>
        <w:lastRenderedPageBreak/>
        <w:t>[106]</w:t>
      </w:r>
      <w:r w:rsidRPr="007D2212">
        <w:t>3.</w:t>
      </w:r>
      <w:r w:rsidRPr="007D2212">
        <w:tab/>
        <w:t>Detection</w:t>
      </w:r>
    </w:p>
    <w:p w14:paraId="1A16C5FC" w14:textId="1692AFE2" w:rsidR="00612969" w:rsidRPr="007D2212" w:rsidRDefault="00E97743">
      <w:pPr>
        <w:pStyle w:val="IPPNormal"/>
        <w:rPr>
          <w:iCs/>
        </w:rPr>
      </w:pPr>
      <w:r w:rsidRPr="007D2212">
        <w:rPr>
          <w:rStyle w:val="PleaseReviewParagraphId"/>
        </w:rPr>
        <w:t>[107]</w:t>
      </w:r>
      <w:r w:rsidRPr="007D2212">
        <w:t>Fruit flies of the genus</w:t>
      </w:r>
      <w:r w:rsidRPr="007D2212">
        <w:rPr>
          <w:rFonts w:eastAsiaTheme="minorEastAsia"/>
          <w:lang w:eastAsia="ja-JP"/>
        </w:rPr>
        <w:t xml:space="preserve"> </w:t>
      </w:r>
      <w:r w:rsidRPr="007D2212">
        <w:rPr>
          <w:i/>
        </w:rPr>
        <w:t>Bactrocera</w:t>
      </w:r>
      <w:r w:rsidRPr="007D2212">
        <w:rPr>
          <w:rFonts w:eastAsiaTheme="minorEastAsia"/>
          <w:i/>
          <w:lang w:eastAsia="ja-JP"/>
        </w:rPr>
        <w:t xml:space="preserve"> </w:t>
      </w:r>
      <w:r w:rsidRPr="007D2212">
        <w:t>are detected mainly by male lure trap or in fruits. Only male adult fruit flies are captured by male</w:t>
      </w:r>
      <w:r w:rsidRPr="007D2212">
        <w:rPr>
          <w:rFonts w:eastAsiaTheme="minorEastAsia"/>
          <w:lang w:eastAsia="ja-JP"/>
        </w:rPr>
        <w:t xml:space="preserve"> </w:t>
      </w:r>
      <w:r w:rsidRPr="007D2212">
        <w:t xml:space="preserve">lure trapping, while all immature stages such as eggs (Figure 2(a)), early to final instar larvae (Figures 2(b) to (d)), puparia </w:t>
      </w:r>
      <w:r w:rsidR="0046674A" w:rsidRPr="007D2212">
        <w:t xml:space="preserve">and pupae </w:t>
      </w:r>
      <w:r w:rsidRPr="007D2212">
        <w:t xml:space="preserve">(Figures 2(e) </w:t>
      </w:r>
      <w:r w:rsidR="00D9104C">
        <w:t>and</w:t>
      </w:r>
      <w:r w:rsidRPr="007D2212">
        <w:t xml:space="preserve"> (f)) </w:t>
      </w:r>
      <w:r w:rsidRPr="007D2212">
        <w:rPr>
          <w:rFonts w:eastAsiaTheme="minorEastAsia"/>
          <w:lang w:eastAsia="ja-JP"/>
        </w:rPr>
        <w:t>can be</w:t>
      </w:r>
      <w:r w:rsidRPr="007D2212">
        <w:t xml:space="preserve"> found during inspection of fruits</w:t>
      </w:r>
      <w:r w:rsidRPr="007D2212">
        <w:rPr>
          <w:iCs/>
        </w:rPr>
        <w:t>.</w:t>
      </w:r>
    </w:p>
    <w:p w14:paraId="76B6241E" w14:textId="77777777" w:rsidR="00612969" w:rsidRPr="007D2212" w:rsidRDefault="00E97743">
      <w:pPr>
        <w:pStyle w:val="IPPHeading2"/>
      </w:pPr>
      <w:r w:rsidRPr="007D2212">
        <w:rPr>
          <w:rStyle w:val="PleaseReviewParagraphId"/>
          <w:b w:val="0"/>
        </w:rPr>
        <w:t>[108]</w:t>
      </w:r>
      <w:r w:rsidRPr="007D2212">
        <w:t>3.1</w:t>
      </w:r>
      <w:r w:rsidRPr="007D2212">
        <w:tab/>
        <w:t>Trapping</w:t>
      </w:r>
    </w:p>
    <w:p w14:paraId="44948F5B" w14:textId="512BDCE2" w:rsidR="00612969" w:rsidRPr="007D2212" w:rsidRDefault="00E97743">
      <w:pPr>
        <w:pStyle w:val="IPPNormal"/>
      </w:pPr>
      <w:r w:rsidRPr="007D2212">
        <w:rPr>
          <w:rStyle w:val="PleaseReviewParagraphId"/>
        </w:rPr>
        <w:t>[109]</w:t>
      </w:r>
      <w:r w:rsidRPr="007D2212">
        <w:t xml:space="preserve">Guidance on trapping </w:t>
      </w:r>
      <w:r w:rsidRPr="007D2212">
        <w:rPr>
          <w:i/>
        </w:rPr>
        <w:t>Bactrocera</w:t>
      </w:r>
      <w:r w:rsidRPr="007D2212">
        <w:t xml:space="preserve"> fruit flies is given in Appendix 1 of ISPM 26 </w:t>
      </w:r>
      <w:r w:rsidRPr="007D2212">
        <w:rPr>
          <w:iCs/>
        </w:rPr>
        <w:t>(</w:t>
      </w:r>
      <w:r w:rsidRPr="007D2212">
        <w:rPr>
          <w:i/>
          <w:iCs/>
        </w:rPr>
        <w:t>Establishment of pest free areas for fruit flies (Tephritidae)</w:t>
      </w:r>
      <w:r w:rsidRPr="007D2212">
        <w:rPr>
          <w:iCs/>
        </w:rPr>
        <w:t xml:space="preserve">). </w:t>
      </w:r>
      <w:r w:rsidRPr="007D2212">
        <w:t>Additional information on trapping methods is provided by Drew (1982), Drew and Romig (2010), and FAO and IAEA (</w:t>
      </w:r>
      <w:r w:rsidR="00D22FA0" w:rsidRPr="007D2212">
        <w:t>201</w:t>
      </w:r>
      <w:r w:rsidR="00D22FA0">
        <w:t>8</w:t>
      </w:r>
      <w:r w:rsidRPr="007D2212">
        <w:t xml:space="preserve">). The </w:t>
      </w:r>
      <w:r w:rsidRPr="007D2212">
        <w:rPr>
          <w:i/>
        </w:rPr>
        <w:t>Bactrocera dorsalis</w:t>
      </w:r>
      <w:r w:rsidRPr="007D2212">
        <w:t xml:space="preserve"> complex includes species that respond to different male lures. </w:t>
      </w:r>
      <w:r w:rsidRPr="007D2212">
        <w:rPr>
          <w:rFonts w:eastAsiaTheme="minorEastAsia"/>
          <w:lang w:eastAsia="ja-JP"/>
        </w:rPr>
        <w:t>When t</w:t>
      </w:r>
      <w:r w:rsidRPr="007D2212">
        <w:t>he</w:t>
      </w:r>
      <w:r w:rsidRPr="007D2212">
        <w:rPr>
          <w:rFonts w:eastAsiaTheme="minorEastAsia"/>
          <w:lang w:eastAsia="ja-JP"/>
        </w:rPr>
        <w:t xml:space="preserve"> </w:t>
      </w:r>
      <w:r w:rsidRPr="007D2212">
        <w:t xml:space="preserve">lure responsiveness </w:t>
      </w:r>
      <w:r w:rsidRPr="007D2212">
        <w:rPr>
          <w:rFonts w:eastAsiaTheme="minorEastAsia"/>
          <w:lang w:eastAsia="ja-JP"/>
        </w:rPr>
        <w:t xml:space="preserve">information is available, it </w:t>
      </w:r>
      <w:r w:rsidRPr="007D2212">
        <w:t xml:space="preserve">can be used as supporting information for species identification. Five of the target species in this diagnostic protocol are methyl eugenol responding species. The only exception is </w:t>
      </w:r>
      <w:r w:rsidRPr="007D2212">
        <w:rPr>
          <w:i/>
        </w:rPr>
        <w:t>B.</w:t>
      </w:r>
      <w:r w:rsidRPr="007D2212">
        <w:rPr>
          <w:i/>
          <w:szCs w:val="22"/>
        </w:rPr>
        <w:t> </w:t>
      </w:r>
      <w:r w:rsidRPr="007D2212">
        <w:rPr>
          <w:i/>
        </w:rPr>
        <w:t>pyrifoliae</w:t>
      </w:r>
      <w:r w:rsidRPr="007D2212">
        <w:t>, which has been reported to respond to an alternative lure: cue lure (Drew and Romig, 20</w:t>
      </w:r>
      <w:r w:rsidRPr="007D2212">
        <w:rPr>
          <w:rFonts w:eastAsiaTheme="minorEastAsia"/>
          <w:lang w:eastAsia="ja-JP"/>
        </w:rPr>
        <w:t>13</w:t>
      </w:r>
      <w:r w:rsidRPr="007D2212">
        <w:t xml:space="preserve">). </w:t>
      </w:r>
    </w:p>
    <w:p w14:paraId="124C64A9" w14:textId="6000B93E" w:rsidR="00612969" w:rsidRPr="007D2212" w:rsidRDefault="00E97743">
      <w:pPr>
        <w:pStyle w:val="IPPNormal"/>
      </w:pPr>
      <w:r w:rsidRPr="007D2212">
        <w:rPr>
          <w:rStyle w:val="PleaseReviewParagraphId"/>
        </w:rPr>
        <w:t>[110]</w:t>
      </w:r>
      <w:r w:rsidRPr="007D2212">
        <w:t xml:space="preserve">Additional information on attractants for trapping, such as synthetic food attractants and hydrolysed protein substances, </w:t>
      </w:r>
      <w:r w:rsidRPr="007D2212">
        <w:rPr>
          <w:rFonts w:eastAsiaTheme="minorEastAsia"/>
          <w:lang w:eastAsia="ja-JP"/>
        </w:rPr>
        <w:t xml:space="preserve">are available in </w:t>
      </w:r>
      <w:r w:rsidR="00506E40">
        <w:rPr>
          <w:rFonts w:eastAsiaTheme="minorEastAsia"/>
          <w:lang w:eastAsia="ja-JP"/>
        </w:rPr>
        <w:t xml:space="preserve">Appendix 1 of </w:t>
      </w:r>
      <w:r w:rsidRPr="007D2212">
        <w:rPr>
          <w:rFonts w:eastAsiaTheme="minorEastAsia"/>
          <w:lang w:eastAsia="ja-JP"/>
        </w:rPr>
        <w:t xml:space="preserve">ISPM 26. </w:t>
      </w:r>
    </w:p>
    <w:p w14:paraId="17BE6FA1" w14:textId="77777777" w:rsidR="00612969" w:rsidRPr="007D2212" w:rsidRDefault="00E97743">
      <w:pPr>
        <w:pStyle w:val="IPPHeading2"/>
      </w:pPr>
      <w:r w:rsidRPr="007D2212">
        <w:rPr>
          <w:rStyle w:val="PleaseReviewParagraphId"/>
          <w:b w:val="0"/>
        </w:rPr>
        <w:t>[111]</w:t>
      </w:r>
      <w:r w:rsidRPr="007D2212">
        <w:t>3.2</w:t>
      </w:r>
      <w:r w:rsidRPr="007D2212">
        <w:tab/>
        <w:t xml:space="preserve">Inspection of fruits </w:t>
      </w:r>
    </w:p>
    <w:p w14:paraId="7FCD2ADB" w14:textId="16CF631B" w:rsidR="00612969" w:rsidRPr="007D2212" w:rsidRDefault="00E97743">
      <w:pPr>
        <w:pStyle w:val="IPPNormal"/>
      </w:pPr>
      <w:r w:rsidRPr="007D2212">
        <w:rPr>
          <w:rStyle w:val="PleaseReviewParagraphId"/>
        </w:rPr>
        <w:t>[112]</w:t>
      </w:r>
      <w:r w:rsidRPr="007D2212">
        <w:t>Fruits with soft areas, dark stains,</w:t>
      </w:r>
      <w:r w:rsidR="0046674A" w:rsidRPr="007D2212">
        <w:t xml:space="preserve"> dark pin spots,</w:t>
      </w:r>
      <w:r w:rsidRPr="007D2212">
        <w:t xml:space="preserve"> rot, orifices or injuries that might have originated from female oviposition or larval feeding activities </w:t>
      </w:r>
      <w:r w:rsidR="00042AD0">
        <w:t>should be</w:t>
      </w:r>
      <w:r w:rsidRPr="007D2212">
        <w:t xml:space="preserve"> targeted for inspection. In order to detect punctures made by female flies during oviposition, fruits should be examined under a microscope by an expert. If larval exit holes are observed, the fruit containers should be inspected for pupae. Second and third instar larvae and pupae are not likely to occur when unripe fruits are collected and packed; however, these fruits might host eggs and first instar larvae, which are more difficult to detect. Potentially infested fruits that show typical punctures made by ovipositioning female flies should be cut open to search for eggs or larvae inside. The success of detection depends on careful sampling and examination of fruits. </w:t>
      </w:r>
    </w:p>
    <w:p w14:paraId="7CF21CAD" w14:textId="32DCF57F" w:rsidR="00612969" w:rsidRPr="007D2212" w:rsidRDefault="00E97743">
      <w:pPr>
        <w:pStyle w:val="IPPNormal"/>
      </w:pPr>
      <w:r w:rsidRPr="007D2212">
        <w:rPr>
          <w:rStyle w:val="PleaseReviewParagraphId"/>
        </w:rPr>
        <w:t>[113]</w:t>
      </w:r>
      <w:r w:rsidRPr="007D2212">
        <w:t xml:space="preserve">Once detected, immature larvae can be reared to adults for identification (section 3.3). Rearing of adults is required to accurately identify a fly to species </w:t>
      </w:r>
      <w:r w:rsidR="00042AD0">
        <w:t xml:space="preserve">level </w:t>
      </w:r>
      <w:r w:rsidRPr="007D2212">
        <w:t xml:space="preserve">or as part of the </w:t>
      </w:r>
      <w:r w:rsidRPr="007D2212">
        <w:rPr>
          <w:i/>
        </w:rPr>
        <w:t>Bactrocera dorsalis</w:t>
      </w:r>
      <w:r w:rsidRPr="007D2212">
        <w:t xml:space="preserve"> complex. The incubation of infested fruits is a common practice to obtain adult flies</w:t>
      </w:r>
      <w:r w:rsidR="00506E40">
        <w:t>,</w:t>
      </w:r>
      <w:r w:rsidRPr="007D2212">
        <w:t xml:space="preserve"> which is necessary to identify species in this protocol. Even if there are no signs of fruit fly infestation, an incubation could be conducted as an oviposition mark is often difficult to recognize.  </w:t>
      </w:r>
    </w:p>
    <w:p w14:paraId="6F430245" w14:textId="77777777" w:rsidR="00612969" w:rsidRPr="007D2212" w:rsidRDefault="00E97743">
      <w:pPr>
        <w:pStyle w:val="IPPHeading2"/>
      </w:pPr>
      <w:r w:rsidRPr="007D2212">
        <w:rPr>
          <w:rStyle w:val="PleaseReviewParagraphId"/>
          <w:b w:val="0"/>
        </w:rPr>
        <w:t>[114]</w:t>
      </w:r>
      <w:r w:rsidRPr="007D2212">
        <w:t>3.3</w:t>
      </w:r>
      <w:r w:rsidRPr="007D2212">
        <w:tab/>
        <w:t>Rearing larvae to obtain adults</w:t>
      </w:r>
    </w:p>
    <w:p w14:paraId="78BB00C8" w14:textId="50C025AE" w:rsidR="00612969" w:rsidRPr="007D2212" w:rsidRDefault="00E97743">
      <w:pPr>
        <w:pStyle w:val="IPPNormal"/>
      </w:pPr>
      <w:r w:rsidRPr="007D2212">
        <w:rPr>
          <w:rStyle w:val="PleaseReviewParagraphId"/>
        </w:rPr>
        <w:t>[115]</w:t>
      </w:r>
      <w:r w:rsidRPr="007D2212">
        <w:t>Larvae can be reared to adults by placing infested fruits in cages containing a pupation medium (e.g. damp vermiculite, sand or sawdust) at the bottom. The cages are covered with cloth or fine mesh. Once the larvae emerge from the fruit, they will move to the pupation medium. Each sample should be observed and pupae gathered daily. The pupae are placed in containers with the pupation medium, and the containers are covered with a tight lid that enables proper ventilation. Once the adults emerge, they must be kept alive for several days to ensure that the tegument and wings acquire the rigidity and characteristic coloration of the species. Flies can be fed with honey</w:t>
      </w:r>
      <w:r w:rsidRPr="007D2212">
        <w:rPr>
          <w:rFonts w:eastAsiaTheme="minorEastAsia"/>
          <w:lang w:eastAsia="ja-JP"/>
        </w:rPr>
        <w:t xml:space="preserve"> (sugar)</w:t>
      </w:r>
      <w:r w:rsidRPr="007D2212">
        <w:t xml:space="preserve"> and water</w:t>
      </w:r>
      <w:r w:rsidRPr="007D2212">
        <w:rPr>
          <w:rFonts w:eastAsiaTheme="minorEastAsia"/>
          <w:lang w:eastAsia="ja-JP"/>
        </w:rPr>
        <w:t>.</w:t>
      </w:r>
      <w:r w:rsidRPr="007D2212">
        <w:t xml:space="preserve"> The adults are then killed by freezing, or by exposure to ethyl acetate or other killing agents appropriate for morphological examination, and then mounted on pins. Prior to mounting (before they harden)</w:t>
      </w:r>
      <w:r w:rsidRPr="007D2212">
        <w:rPr>
          <w:rFonts w:eastAsiaTheme="minorEastAsia"/>
          <w:lang w:eastAsia="ja-JP"/>
        </w:rPr>
        <w:t>,</w:t>
      </w:r>
      <w:r w:rsidRPr="007D2212">
        <w:t xml:space="preserve"> it is useful to gently squeeze the apical part of the preabdomen with forceps, then squeeze the base and apex of the oviscape to expose the aculeus tip for females, and to pull out the </w:t>
      </w:r>
      <w:r w:rsidRPr="007D2212">
        <w:rPr>
          <w:rFonts w:eastAsiaTheme="minorEastAsia"/>
          <w:lang w:eastAsia="ja-JP"/>
        </w:rPr>
        <w:t>aedeagus</w:t>
      </w:r>
      <w:r w:rsidRPr="007D2212">
        <w:t xml:space="preserve"> for males. Alternatively, this will need to be dissected later</w:t>
      </w:r>
      <w:r w:rsidRPr="007D2212">
        <w:rPr>
          <w:rFonts w:eastAsiaTheme="minorEastAsia"/>
          <w:lang w:eastAsia="ja-JP"/>
        </w:rPr>
        <w:t xml:space="preserve"> in flies.</w:t>
      </w:r>
    </w:p>
    <w:p w14:paraId="3919F244" w14:textId="77777777" w:rsidR="00612969" w:rsidRPr="007D2212" w:rsidRDefault="00E97743">
      <w:pPr>
        <w:pStyle w:val="IPPHeading1"/>
      </w:pPr>
      <w:r w:rsidRPr="007D2212">
        <w:rPr>
          <w:rStyle w:val="PleaseReviewParagraphId"/>
          <w:b w:val="0"/>
        </w:rPr>
        <w:t>[116]</w:t>
      </w:r>
      <w:r w:rsidRPr="007D2212">
        <w:t>4.</w:t>
      </w:r>
      <w:r w:rsidRPr="007D2212">
        <w:tab/>
        <w:t>Identification</w:t>
      </w:r>
    </w:p>
    <w:p w14:paraId="336FED0D" w14:textId="77777777" w:rsidR="00612969" w:rsidRPr="007D2212" w:rsidRDefault="00E97743">
      <w:pPr>
        <w:pStyle w:val="IPPNormal"/>
      </w:pPr>
      <w:r w:rsidRPr="007D2212">
        <w:rPr>
          <w:rStyle w:val="PleaseReviewParagraphId"/>
        </w:rPr>
        <w:t>[117]</w:t>
      </w:r>
      <w:r w:rsidRPr="007D2212">
        <w:t xml:space="preserve">Identification at the level of the species or the </w:t>
      </w:r>
      <w:r w:rsidRPr="007D2212">
        <w:rPr>
          <w:i/>
        </w:rPr>
        <w:t>Bactrocera dorsalis</w:t>
      </w:r>
      <w:r w:rsidRPr="007D2212">
        <w:t xml:space="preserve"> complex requires morphological examination of adult flies. It is generally difficult and not reliable to morphologically identify eggs, </w:t>
      </w:r>
      <w:r w:rsidRPr="007D2212">
        <w:lastRenderedPageBreak/>
        <w:t xml:space="preserve">larvae or pupae to the species level. It is not possible to identify a fly to the </w:t>
      </w:r>
      <w:r w:rsidRPr="007D2212">
        <w:rPr>
          <w:i/>
        </w:rPr>
        <w:t>Bactrocera dorsalis</w:t>
      </w:r>
      <w:r w:rsidRPr="007D2212">
        <w:t xml:space="preserve"> complex using immature life stages.</w:t>
      </w:r>
    </w:p>
    <w:p w14:paraId="67E5D719" w14:textId="19F45E1E" w:rsidR="00612969" w:rsidRPr="007D2212" w:rsidRDefault="00E97743">
      <w:pPr>
        <w:pStyle w:val="IPPNormal"/>
      </w:pPr>
      <w:r w:rsidRPr="007D2212">
        <w:rPr>
          <w:rStyle w:val="PleaseReviewParagraphId"/>
        </w:rPr>
        <w:t>[118]</w:t>
      </w:r>
      <w:r w:rsidRPr="007D2212">
        <w:t xml:space="preserve">Molecular methods of </w:t>
      </w:r>
      <w:r w:rsidRPr="007D2212">
        <w:rPr>
          <w:i/>
        </w:rPr>
        <w:t>Bactrocera</w:t>
      </w:r>
      <w:r w:rsidRPr="007D2212">
        <w:t xml:space="preserve"> species identification have been reported and provide additional information to support morphological identifications of specimens. DNA sequencing of the </w:t>
      </w:r>
      <w:r w:rsidRPr="00A4522D">
        <w:rPr>
          <w:i/>
        </w:rPr>
        <w:t>cytochrome oxidase I</w:t>
      </w:r>
      <w:r w:rsidRPr="007D2212">
        <w:t xml:space="preserve"> DNA barcode does not provide adequate resolution to identify many species in the </w:t>
      </w:r>
      <w:r w:rsidRPr="007D2212">
        <w:rPr>
          <w:i/>
        </w:rPr>
        <w:t>B.</w:t>
      </w:r>
      <w:r w:rsidRPr="007D2212">
        <w:rPr>
          <w:i/>
          <w:szCs w:val="22"/>
        </w:rPr>
        <w:t> </w:t>
      </w:r>
      <w:r w:rsidRPr="007D2212">
        <w:rPr>
          <w:i/>
        </w:rPr>
        <w:t>dorsalis</w:t>
      </w:r>
      <w:r w:rsidRPr="007D2212">
        <w:t xml:space="preserve"> complex (details in section 4.</w:t>
      </w:r>
      <w:r w:rsidR="00F105FB" w:rsidRPr="007D2212">
        <w:t>4</w:t>
      </w:r>
      <w:r w:rsidRPr="007D2212">
        <w:t xml:space="preserve">). Other molecular methods lack the specificity data needed to demonstrate that a test is accurate for species identification. For example, the molecular profiles </w:t>
      </w:r>
      <w:r w:rsidR="00C5475D">
        <w:t>of</w:t>
      </w:r>
      <w:r w:rsidR="00657685" w:rsidRPr="007D2212">
        <w:t xml:space="preserve"> </w:t>
      </w:r>
      <w:r w:rsidRPr="007D2212">
        <w:t>all six pest species targeted in th</w:t>
      </w:r>
      <w:r w:rsidR="0066219B">
        <w:t>is</w:t>
      </w:r>
      <w:r w:rsidRPr="007D2212">
        <w:t xml:space="preserve"> protocol </w:t>
      </w:r>
      <w:r w:rsidR="00C5475D" w:rsidRPr="007D2212">
        <w:t xml:space="preserve">are not known using </w:t>
      </w:r>
      <w:r w:rsidR="00C5475D">
        <w:t>ribosomal</w:t>
      </w:r>
      <w:r w:rsidR="00B37491">
        <w:t xml:space="preserve"> </w:t>
      </w:r>
      <w:r w:rsidR="00C5475D" w:rsidRPr="007D2212">
        <w:t xml:space="preserve">DNA analysis </w:t>
      </w:r>
      <w:r w:rsidRPr="007D2212">
        <w:t>(</w:t>
      </w:r>
      <w:r w:rsidRPr="00EC752D">
        <w:t>section 4.</w:t>
      </w:r>
      <w:r w:rsidR="00657685" w:rsidRPr="00EC752D">
        <w:t>4</w:t>
      </w:r>
      <w:r w:rsidRPr="007D2212">
        <w:t xml:space="preserve">). DNA can be used to distinguish </w:t>
      </w:r>
      <w:r w:rsidRPr="007D2212">
        <w:rPr>
          <w:i/>
        </w:rPr>
        <w:t>B.</w:t>
      </w:r>
      <w:r w:rsidRPr="007D2212">
        <w:rPr>
          <w:i/>
          <w:szCs w:val="22"/>
        </w:rPr>
        <w:t> </w:t>
      </w:r>
      <w:r w:rsidRPr="007D2212">
        <w:rPr>
          <w:i/>
        </w:rPr>
        <w:t>carambolae</w:t>
      </w:r>
      <w:r w:rsidRPr="007D2212">
        <w:t xml:space="preserve"> from </w:t>
      </w:r>
      <w:r w:rsidRPr="007D2212">
        <w:rPr>
          <w:i/>
        </w:rPr>
        <w:t>B.</w:t>
      </w:r>
      <w:r w:rsidRPr="007D2212">
        <w:rPr>
          <w:i/>
          <w:szCs w:val="22"/>
        </w:rPr>
        <w:t> </w:t>
      </w:r>
      <w:r w:rsidRPr="007D2212">
        <w:rPr>
          <w:i/>
        </w:rPr>
        <w:t>dorsalis</w:t>
      </w:r>
      <w:r w:rsidRPr="007D2212">
        <w:t xml:space="preserve"> </w:t>
      </w:r>
      <w:r w:rsidRPr="007D2212">
        <w:rPr>
          <w:rFonts w:eastAsiaTheme="minorEastAsia"/>
          <w:i/>
          <w:lang w:eastAsia="ja-JP"/>
        </w:rPr>
        <w:t>s.l.</w:t>
      </w:r>
      <w:r w:rsidRPr="007D2212">
        <w:rPr>
          <w:rFonts w:eastAsiaTheme="minorEastAsia"/>
          <w:lang w:eastAsia="ja-JP"/>
        </w:rPr>
        <w:t xml:space="preserve"> </w:t>
      </w:r>
      <w:r w:rsidRPr="007D2212">
        <w:t xml:space="preserve">and </w:t>
      </w:r>
      <w:r w:rsidR="007F18F0">
        <w:t>a method for doing this</w:t>
      </w:r>
      <w:r w:rsidRPr="007D2212">
        <w:t xml:space="preserve"> is provided in th</w:t>
      </w:r>
      <w:r w:rsidR="0066219B">
        <w:t>is</w:t>
      </w:r>
      <w:r w:rsidRPr="007D2212">
        <w:t xml:space="preserve"> protocol (section 4.3.2). </w:t>
      </w:r>
      <w:r w:rsidR="003E44BA" w:rsidRPr="007D2212">
        <w:t xml:space="preserve">The use of a fly leg for DNA extraction is recommended when molecular data are to be collected. </w:t>
      </w:r>
      <w:r w:rsidR="00A80D4A" w:rsidRPr="007D2212">
        <w:t xml:space="preserve">For guidance on preparing </w:t>
      </w:r>
      <w:r w:rsidR="003E44BA" w:rsidRPr="007D2212">
        <w:t>a specimen for molecular study</w:t>
      </w:r>
      <w:r w:rsidR="0066219B">
        <w:t>,</w:t>
      </w:r>
      <w:r w:rsidR="003E44BA" w:rsidRPr="007D2212">
        <w:t xml:space="preserve"> see section</w:t>
      </w:r>
      <w:r w:rsidR="009B246F">
        <w:t> </w:t>
      </w:r>
      <w:r w:rsidR="003E44BA" w:rsidRPr="007D2212">
        <w:t>4.3.1.</w:t>
      </w:r>
    </w:p>
    <w:p w14:paraId="7779CFF1" w14:textId="77777777" w:rsidR="00612969" w:rsidRPr="007D2212" w:rsidRDefault="00E97743">
      <w:pPr>
        <w:pStyle w:val="IPPHeading2"/>
      </w:pPr>
      <w:r w:rsidRPr="007D2212">
        <w:rPr>
          <w:rStyle w:val="PleaseReviewParagraphId"/>
          <w:b w:val="0"/>
        </w:rPr>
        <w:t>[119]</w:t>
      </w:r>
      <w:r w:rsidRPr="007D2212">
        <w:t>4.1</w:t>
      </w:r>
      <w:r w:rsidRPr="007D2212">
        <w:tab/>
        <w:t>Preparation of adults for identification</w:t>
      </w:r>
    </w:p>
    <w:p w14:paraId="172B460B" w14:textId="77777777" w:rsidR="00612969" w:rsidRPr="007D2212" w:rsidRDefault="00E97743">
      <w:pPr>
        <w:pStyle w:val="IPPNormal"/>
      </w:pPr>
      <w:r w:rsidRPr="007D2212">
        <w:rPr>
          <w:rStyle w:val="PleaseReviewParagraphId"/>
        </w:rPr>
        <w:t>[120]</w:t>
      </w:r>
      <w:r w:rsidRPr="007D2212">
        <w:t>Proper preparation of specimens is essential for accurate morphological identification. General instructions on preparation of adult fruit fly specimens are given by Drew (1991) and White and Elson-Harris (199</w:t>
      </w:r>
      <w:r w:rsidRPr="007D2212">
        <w:rPr>
          <w:rFonts w:eastAsiaTheme="minorEastAsia"/>
          <w:lang w:eastAsia="ja-JP"/>
        </w:rPr>
        <w:t>2</w:t>
      </w:r>
      <w:r w:rsidRPr="007D2212">
        <w:t xml:space="preserve">). </w:t>
      </w:r>
    </w:p>
    <w:p w14:paraId="722AC047" w14:textId="77777777" w:rsidR="00612969" w:rsidRPr="007D2212" w:rsidRDefault="00E97743">
      <w:pPr>
        <w:pStyle w:val="IPPNormal"/>
      </w:pPr>
      <w:r w:rsidRPr="007D2212">
        <w:rPr>
          <w:rStyle w:val="PleaseReviewParagraphId"/>
        </w:rPr>
        <w:t>[121]</w:t>
      </w:r>
      <w:r w:rsidRPr="007D2212">
        <w:t>Every attempt should be made to preserve all characters on at least one side of the centre line, regardless of the mounting method</w:t>
      </w:r>
      <w:r w:rsidRPr="007D2212">
        <w:rPr>
          <w:rFonts w:eastAsiaTheme="minorEastAsia"/>
          <w:lang w:eastAsia="ja-JP"/>
        </w:rPr>
        <w:t xml:space="preserve"> (</w:t>
      </w:r>
      <w:r w:rsidRPr="007D2212">
        <w:t xml:space="preserve">Foote </w:t>
      </w:r>
      <w:r w:rsidRPr="007D2212">
        <w:rPr>
          <w:i/>
        </w:rPr>
        <w:t>et</w:t>
      </w:r>
      <w:r w:rsidRPr="007D2212">
        <w:rPr>
          <w:rFonts w:ascii="Arial" w:hAnsi="Arial" w:cs="Arial"/>
          <w:i/>
          <w:color w:val="000000"/>
          <w:sz w:val="18"/>
          <w:szCs w:val="18"/>
        </w:rPr>
        <w:t> </w:t>
      </w:r>
      <w:r w:rsidRPr="007D2212">
        <w:rPr>
          <w:i/>
        </w:rPr>
        <w:t>al.</w:t>
      </w:r>
      <w:r w:rsidRPr="007D2212">
        <w:rPr>
          <w:rFonts w:eastAsiaTheme="minorEastAsia"/>
          <w:lang w:eastAsia="ja-JP"/>
        </w:rPr>
        <w:t>,</w:t>
      </w:r>
      <w:r w:rsidRPr="007D2212">
        <w:t xml:space="preserve"> 1993).</w:t>
      </w:r>
    </w:p>
    <w:p w14:paraId="6D1F4B0B" w14:textId="4539AC6D" w:rsidR="00612969" w:rsidRPr="007D2212" w:rsidRDefault="00E97743">
      <w:pPr>
        <w:pStyle w:val="IPPNormal"/>
      </w:pPr>
      <w:r w:rsidRPr="007D2212">
        <w:rPr>
          <w:rStyle w:val="PleaseReviewParagraphId"/>
        </w:rPr>
        <w:t>[122]</w:t>
      </w:r>
      <w:r w:rsidRPr="007D2212">
        <w:t>Characters on the head, wing, leg, thorax and abdomen of a fly can be examined from pinned specimens under magnification using a stereomicroscope</w:t>
      </w:r>
      <w:r w:rsidR="00EA7B18">
        <w:t xml:space="preserve"> at ≥20X</w:t>
      </w:r>
      <w:r w:rsidRPr="007D2212">
        <w:t xml:space="preserve">. This magnification level is appropriate for observation of spot and colour patterns and wing morphology (Figure 1). Microscopic examination is required to measure characters on the genitalia that are described in section 4.1.1. </w:t>
      </w:r>
    </w:p>
    <w:p w14:paraId="648ECA86" w14:textId="0FDFAD89" w:rsidR="00612969" w:rsidRPr="007D2212" w:rsidRDefault="00E97743">
      <w:pPr>
        <w:pStyle w:val="IPPNormal"/>
      </w:pPr>
      <w:r w:rsidRPr="007D2212">
        <w:rPr>
          <w:rStyle w:val="PleaseReviewParagraphId"/>
        </w:rPr>
        <w:t>[123]</w:t>
      </w:r>
      <w:r w:rsidRPr="007D2212">
        <w:t xml:space="preserve">Structures of the ovipositor such as oviscape, eversible membrane and aculeus have been used as important taxonomic characters at species level (Hardy, 1949, 1969; Hardy and Adachi, 1954; Drew and Hancock, 1994). Since the review by Drew and Hancock (1994), aculeus length has been used in particular for distinguishing some of the fruit fly species within the </w:t>
      </w:r>
      <w:r w:rsidRPr="007D2212">
        <w:rPr>
          <w:rFonts w:eastAsiaTheme="minorEastAsia"/>
          <w:i/>
          <w:lang w:eastAsia="ja-JP"/>
        </w:rPr>
        <w:t>Bactrocera dorsalis</w:t>
      </w:r>
      <w:r w:rsidRPr="007D2212">
        <w:rPr>
          <w:rFonts w:eastAsiaTheme="minorEastAsia"/>
          <w:lang w:eastAsia="ja-JP"/>
        </w:rPr>
        <w:t xml:space="preserve"> </w:t>
      </w:r>
      <w:r w:rsidRPr="007D2212">
        <w:t xml:space="preserve">complex, and male aedeagus length, which is highly correlated with aculeus length, has also been used because only males are trapped in lure trapping surveys. </w:t>
      </w:r>
      <w:r w:rsidR="00594224" w:rsidRPr="00A4522D">
        <w:rPr>
          <w:rFonts w:eastAsia="Times New Roman"/>
          <w:szCs w:val="22"/>
        </w:rPr>
        <w:t xml:space="preserve">Care must be taken when interpreting genitalic morphometric information for species diagnostics, as some members of the </w:t>
      </w:r>
      <w:r w:rsidR="00594224" w:rsidRPr="00A4522D">
        <w:rPr>
          <w:rStyle w:val="IPPnormalitalics"/>
        </w:rPr>
        <w:t>B.</w:t>
      </w:r>
      <w:r w:rsidR="00B711EE" w:rsidRPr="00A4522D">
        <w:rPr>
          <w:rStyle w:val="IPPnormalitalics"/>
        </w:rPr>
        <w:t> </w:t>
      </w:r>
      <w:r w:rsidR="00594224" w:rsidRPr="00A4522D">
        <w:rPr>
          <w:rStyle w:val="IPPnormalitalics"/>
        </w:rPr>
        <w:t>dorsalis</w:t>
      </w:r>
      <w:r w:rsidR="00594224" w:rsidRPr="00A4522D">
        <w:rPr>
          <w:rFonts w:eastAsia="Times New Roman"/>
          <w:szCs w:val="22"/>
        </w:rPr>
        <w:t xml:space="preserve"> complex exhibit a wide range of aedeagus lengths over their geographic distribution (Krosch </w:t>
      </w:r>
      <w:r w:rsidR="00594224" w:rsidRPr="00A4522D">
        <w:rPr>
          <w:rStyle w:val="IPPnormalitalics"/>
        </w:rPr>
        <w:t>et</w:t>
      </w:r>
      <w:r w:rsidR="00B711EE" w:rsidRPr="00A4522D">
        <w:rPr>
          <w:rStyle w:val="IPPnormalitalics"/>
        </w:rPr>
        <w:t> </w:t>
      </w:r>
      <w:r w:rsidR="00594224" w:rsidRPr="00A4522D">
        <w:rPr>
          <w:rStyle w:val="IPPnormalitalics"/>
        </w:rPr>
        <w:t>al.</w:t>
      </w:r>
      <w:r w:rsidR="00594224" w:rsidRPr="00A4522D">
        <w:rPr>
          <w:rFonts w:eastAsia="Times New Roman"/>
          <w:szCs w:val="22"/>
        </w:rPr>
        <w:t xml:space="preserve">, 2013; Schutze </w:t>
      </w:r>
      <w:r w:rsidR="00594224" w:rsidRPr="00A4522D">
        <w:rPr>
          <w:rStyle w:val="IPPnormalitalics"/>
        </w:rPr>
        <w:t>et</w:t>
      </w:r>
      <w:r w:rsidR="00B711EE" w:rsidRPr="00A4522D">
        <w:rPr>
          <w:rStyle w:val="IPPnormalitalics"/>
        </w:rPr>
        <w:t> </w:t>
      </w:r>
      <w:r w:rsidR="00594224" w:rsidRPr="00A4522D">
        <w:rPr>
          <w:rStyle w:val="IPPnormalitalics"/>
        </w:rPr>
        <w:t>al.</w:t>
      </w:r>
      <w:r w:rsidR="00594224" w:rsidRPr="00A4522D">
        <w:rPr>
          <w:rFonts w:eastAsia="Times New Roman"/>
          <w:szCs w:val="22"/>
        </w:rPr>
        <w:t>, 2015</w:t>
      </w:r>
      <w:r w:rsidR="006340A9">
        <w:rPr>
          <w:rFonts w:eastAsia="Times New Roman"/>
          <w:szCs w:val="22"/>
        </w:rPr>
        <w:t>a</w:t>
      </w:r>
      <w:r w:rsidR="00594224" w:rsidRPr="00A4522D">
        <w:rPr>
          <w:rFonts w:eastAsia="Times New Roman"/>
          <w:szCs w:val="22"/>
        </w:rPr>
        <w:t xml:space="preserve">). </w:t>
      </w:r>
      <w:r w:rsidRPr="007D2212">
        <w:rPr>
          <w:rFonts w:eastAsiaTheme="minorEastAsia"/>
          <w:lang w:eastAsia="ja-JP"/>
        </w:rPr>
        <w:t>P</w:t>
      </w:r>
      <w:r w:rsidRPr="007D2212">
        <w:t xml:space="preserve">reparation methods for </w:t>
      </w:r>
      <w:r w:rsidRPr="007D2212">
        <w:rPr>
          <w:rFonts w:eastAsiaTheme="minorEastAsia"/>
          <w:lang w:eastAsia="ja-JP"/>
        </w:rPr>
        <w:t xml:space="preserve">male </w:t>
      </w:r>
      <w:r w:rsidRPr="007D2212">
        <w:t>genitalia are included in section 4.1.1.</w:t>
      </w:r>
    </w:p>
    <w:p w14:paraId="54FC5550" w14:textId="77777777" w:rsidR="00612969" w:rsidRPr="007D2212" w:rsidRDefault="00E97743">
      <w:pPr>
        <w:pStyle w:val="IPPNormalCloseSpace"/>
      </w:pPr>
      <w:r w:rsidRPr="007D2212">
        <w:rPr>
          <w:rStyle w:val="PleaseReviewParagraphId"/>
        </w:rPr>
        <w:t>[124]</w:t>
      </w:r>
      <w:r w:rsidRPr="007D2212">
        <w:t>To assist in identification of characters under a stereomicroscope, the following can be applied:</w:t>
      </w:r>
    </w:p>
    <w:p w14:paraId="6F61C7B5" w14:textId="77777777" w:rsidR="00612969" w:rsidRPr="007D2212" w:rsidRDefault="00E97743">
      <w:pPr>
        <w:pStyle w:val="IPPBullet1"/>
        <w:rPr>
          <w:lang w:val="en-GB"/>
        </w:rPr>
      </w:pPr>
      <w:r w:rsidRPr="007D2212">
        <w:rPr>
          <w:rStyle w:val="PleaseReviewParagraphId"/>
          <w:lang w:val="en-GB"/>
        </w:rPr>
        <w:t>[125]</w:t>
      </w:r>
      <w:r w:rsidRPr="007D2212">
        <w:rPr>
          <w:lang w:val="en-GB"/>
        </w:rPr>
        <w:t>Examination of the costal band below the R</w:t>
      </w:r>
      <w:r w:rsidRPr="007D2212">
        <w:rPr>
          <w:vertAlign w:val="subscript"/>
          <w:lang w:val="en-GB"/>
        </w:rPr>
        <w:t>2+3</w:t>
      </w:r>
      <w:r w:rsidRPr="007D2212">
        <w:rPr>
          <w:lang w:val="en-GB"/>
        </w:rPr>
        <w:t xml:space="preserve"> vein will be made easier by putting white paper underneath the wing or by using transmitted light. </w:t>
      </w:r>
    </w:p>
    <w:p w14:paraId="15376F4E" w14:textId="77777777" w:rsidR="00612969" w:rsidRPr="007D2212" w:rsidRDefault="00E97743">
      <w:pPr>
        <w:pStyle w:val="IPPBullet1"/>
        <w:rPr>
          <w:lang w:val="en-GB"/>
        </w:rPr>
      </w:pPr>
      <w:r w:rsidRPr="007D2212">
        <w:rPr>
          <w:rStyle w:val="PleaseReviewParagraphId"/>
          <w:lang w:val="en-GB"/>
        </w:rPr>
        <w:t>[126]</w:t>
      </w:r>
      <w:r w:rsidRPr="007D2212">
        <w:rPr>
          <w:lang w:val="en-GB"/>
        </w:rPr>
        <w:t xml:space="preserve">When black markings on abdominal tergites 3–5 are difficult to observe due to damage such as colour change, observation may be made easier by </w:t>
      </w:r>
      <w:r w:rsidRPr="007D2212">
        <w:rPr>
          <w:rFonts w:eastAsiaTheme="minorEastAsia"/>
          <w:lang w:val="en-GB" w:eastAsia="ja-JP"/>
        </w:rPr>
        <w:t xml:space="preserve">wetting with a paintbrush dipped in 70% ethanol or </w:t>
      </w:r>
      <w:r w:rsidRPr="007D2212">
        <w:rPr>
          <w:lang w:val="en-GB"/>
        </w:rPr>
        <w:t xml:space="preserve">clearing with 10% potassium hydroxide (KOH). </w:t>
      </w:r>
    </w:p>
    <w:p w14:paraId="0AB5C341" w14:textId="77777777" w:rsidR="00612969" w:rsidRPr="007D2212" w:rsidRDefault="00E97743">
      <w:pPr>
        <w:pStyle w:val="IPPBullet1"/>
        <w:rPr>
          <w:lang w:val="en-GB"/>
        </w:rPr>
      </w:pPr>
      <w:r w:rsidRPr="007D2212">
        <w:rPr>
          <w:rStyle w:val="PleaseReviewParagraphId"/>
          <w:lang w:val="en-GB"/>
        </w:rPr>
        <w:t>[127]</w:t>
      </w:r>
      <w:r w:rsidRPr="007D2212">
        <w:rPr>
          <w:lang w:val="en-GB"/>
        </w:rPr>
        <w:t>When the inner yellow membrane in lateral vittae (Figure 3) is partially removed, which makes the boundary of the lateral vittae difficult to see, an alternative is to measure the width of the trans</w:t>
      </w:r>
      <w:r w:rsidRPr="007D2212">
        <w:rPr>
          <w:rFonts w:eastAsiaTheme="minorEastAsia"/>
          <w:lang w:val="en-GB" w:eastAsia="ja-JP"/>
        </w:rPr>
        <w:t>luce</w:t>
      </w:r>
      <w:r w:rsidRPr="007D2212">
        <w:rPr>
          <w:lang w:val="en-GB"/>
        </w:rPr>
        <w:t>nt window in the scutum</w:t>
      </w:r>
      <w:r w:rsidRPr="007D2212">
        <w:rPr>
          <w:rFonts w:eastAsiaTheme="minorEastAsia"/>
          <w:lang w:val="en-GB" w:eastAsia="ja-JP"/>
        </w:rPr>
        <w:t xml:space="preserve"> (Figure 4(b))</w:t>
      </w:r>
      <w:r w:rsidRPr="007D2212">
        <w:rPr>
          <w:lang w:val="en-GB"/>
        </w:rPr>
        <w:t xml:space="preserve">. </w:t>
      </w:r>
    </w:p>
    <w:p w14:paraId="7A1045C3" w14:textId="77777777" w:rsidR="00612969" w:rsidRPr="007D2212" w:rsidRDefault="00E97743">
      <w:pPr>
        <w:pStyle w:val="IPPBullet1Last"/>
      </w:pPr>
      <w:r w:rsidRPr="007D2212">
        <w:rPr>
          <w:rStyle w:val="PleaseReviewParagraphId"/>
        </w:rPr>
        <w:t>[128]</w:t>
      </w:r>
      <w:r w:rsidRPr="007D2212">
        <w:t>In measuring the width of lateral vittae</w:t>
      </w:r>
      <w:r w:rsidRPr="007D2212">
        <w:rPr>
          <w:rFonts w:eastAsiaTheme="minorEastAsia"/>
          <w:lang w:eastAsia="ja-JP"/>
        </w:rPr>
        <w:t xml:space="preserve"> (example of measuring indicated in Figure 4(b))</w:t>
      </w:r>
      <w:r w:rsidRPr="007D2212">
        <w:t>, adjustment of the angle to give the widest value of the vittae is important.</w:t>
      </w:r>
    </w:p>
    <w:p w14:paraId="5D515009" w14:textId="77777777" w:rsidR="00612969" w:rsidRPr="007D2212" w:rsidRDefault="00E97743" w:rsidP="00A4522D">
      <w:pPr>
        <w:pStyle w:val="IPPHeading2"/>
      </w:pPr>
      <w:r w:rsidRPr="007D2212">
        <w:rPr>
          <w:rStyle w:val="PleaseReviewParagraphId"/>
          <w:b w:val="0"/>
        </w:rPr>
        <w:t>[129]</w:t>
      </w:r>
      <w:r w:rsidRPr="007D2212">
        <w:t>4.1.1</w:t>
      </w:r>
      <w:r w:rsidRPr="007D2212">
        <w:tab/>
        <w:t>Preparation of adults for microscopic examination of genitalia</w:t>
      </w:r>
    </w:p>
    <w:p w14:paraId="13784F66" w14:textId="36DDFA83" w:rsidR="00612969" w:rsidRPr="007D2212" w:rsidRDefault="00E97743">
      <w:pPr>
        <w:pStyle w:val="IPPNormal"/>
      </w:pPr>
      <w:r w:rsidRPr="007D2212">
        <w:rPr>
          <w:rStyle w:val="PleaseReviewParagraphId"/>
        </w:rPr>
        <w:t>[130]</w:t>
      </w:r>
      <w:r w:rsidRPr="007D2212">
        <w:t>The procedure</w:t>
      </w:r>
      <w:r w:rsidRPr="007D2212">
        <w:rPr>
          <w:rFonts w:eastAsiaTheme="minorEastAsia"/>
          <w:lang w:eastAsia="ja-JP"/>
        </w:rPr>
        <w:t>s</w:t>
      </w:r>
      <w:r w:rsidRPr="007D2212">
        <w:t xml:space="preserve"> for dissection of the genitalia are mainly based on White and Elson-Harris (199</w:t>
      </w:r>
      <w:r w:rsidRPr="007D2212">
        <w:rPr>
          <w:rFonts w:eastAsiaTheme="minorEastAsia"/>
          <w:lang w:eastAsia="ja-JP"/>
        </w:rPr>
        <w:t>2</w:t>
      </w:r>
      <w:r w:rsidRPr="007D2212">
        <w:t>), White and Hancock (1997)</w:t>
      </w:r>
      <w:r w:rsidR="003E5E73">
        <w:t>,</w:t>
      </w:r>
      <w:r w:rsidRPr="007D2212">
        <w:t xml:space="preserve"> and Foote </w:t>
      </w:r>
      <w:r w:rsidRPr="007D2212">
        <w:rPr>
          <w:i/>
        </w:rPr>
        <w:t>et</w:t>
      </w:r>
      <w:r w:rsidRPr="007D2212">
        <w:rPr>
          <w:rFonts w:ascii="Arial" w:hAnsi="Arial" w:cs="Arial"/>
          <w:i/>
          <w:color w:val="000000"/>
          <w:sz w:val="18"/>
          <w:szCs w:val="18"/>
        </w:rPr>
        <w:t> </w:t>
      </w:r>
      <w:r w:rsidRPr="007D2212">
        <w:rPr>
          <w:i/>
        </w:rPr>
        <w:t>al</w:t>
      </w:r>
      <w:r w:rsidRPr="007D2212">
        <w:t>. (1993)</w:t>
      </w:r>
      <w:r w:rsidRPr="007D2212">
        <w:rPr>
          <w:rFonts w:eastAsiaTheme="minorEastAsia"/>
          <w:lang w:eastAsia="ja-JP"/>
        </w:rPr>
        <w:t>. When measuring the length of genitalia, it is recommended that the relative length to body size also be calculated. The length of the CuA</w:t>
      </w:r>
      <w:r w:rsidRPr="007D2212">
        <w:rPr>
          <w:rFonts w:eastAsiaTheme="minorEastAsia"/>
          <w:vertAlign w:val="subscript"/>
          <w:lang w:eastAsia="ja-JP"/>
        </w:rPr>
        <w:t>1</w:t>
      </w:r>
      <w:r w:rsidRPr="007D2212">
        <w:rPr>
          <w:rFonts w:eastAsiaTheme="minorEastAsia"/>
          <w:lang w:eastAsia="ja-JP"/>
        </w:rPr>
        <w:t xml:space="preserve"> vein along the discal medial cell of the wing has been used as an index of body size in prior studies (Ebina and Ohto, 2006).</w:t>
      </w:r>
    </w:p>
    <w:p w14:paraId="098AC5A3" w14:textId="77777777" w:rsidR="00612969" w:rsidRPr="007D2212" w:rsidRDefault="00E97743">
      <w:pPr>
        <w:pStyle w:val="IPPNormal"/>
      </w:pPr>
      <w:r w:rsidRPr="007D2212">
        <w:rPr>
          <w:rStyle w:val="PleaseReviewParagraphId"/>
        </w:rPr>
        <w:lastRenderedPageBreak/>
        <w:t>[131]</w:t>
      </w:r>
      <w:r w:rsidRPr="007D2212">
        <w:rPr>
          <w:rFonts w:eastAsiaTheme="minorEastAsia"/>
          <w:lang w:eastAsia="ja-JP"/>
        </w:rPr>
        <w:t xml:space="preserve">Preparation of the abdomen for dissection and examination of genitalia can be accomplished by first </w:t>
      </w:r>
      <w:r w:rsidRPr="007D2212">
        <w:t>removing the abdomen from the specimen and</w:t>
      </w:r>
      <w:r w:rsidRPr="007D2212">
        <w:rPr>
          <w:rFonts w:eastAsiaTheme="minorEastAsia"/>
          <w:lang w:eastAsia="ja-JP"/>
        </w:rPr>
        <w:t xml:space="preserve"> soaking it </w:t>
      </w:r>
      <w:r w:rsidRPr="007D2212">
        <w:t xml:space="preserve">in a 10% solution of KOH at 95 °C for </w:t>
      </w:r>
      <w:r w:rsidRPr="007D2212">
        <w:rPr>
          <w:rFonts w:eastAsiaTheme="minorEastAsia"/>
          <w:lang w:eastAsia="ja-JP"/>
        </w:rPr>
        <w:t xml:space="preserve">10 to </w:t>
      </w:r>
      <w:r w:rsidRPr="007D2212">
        <w:t>20 minutes</w:t>
      </w:r>
      <w:r w:rsidRPr="007D2212">
        <w:rPr>
          <w:rFonts w:eastAsiaTheme="minorEastAsia"/>
          <w:lang w:eastAsia="ja-JP"/>
        </w:rPr>
        <w:t xml:space="preserve"> d</w:t>
      </w:r>
      <w:r w:rsidRPr="007D2212">
        <w:t>epending on the condition of the specimen</w:t>
      </w:r>
      <w:r w:rsidRPr="007D2212">
        <w:rPr>
          <w:rFonts w:eastAsiaTheme="minorEastAsia"/>
          <w:lang w:eastAsia="ja-JP"/>
        </w:rPr>
        <w:t>.</w:t>
      </w:r>
      <w:r w:rsidRPr="007D2212">
        <w:t xml:space="preserve"> Once the KOH soak is complete, the digested abdomen can be transferred to a spot of glycerol. </w:t>
      </w:r>
    </w:p>
    <w:p w14:paraId="2BCCBFEE" w14:textId="13112B7A" w:rsidR="00612969" w:rsidRPr="007D2212" w:rsidRDefault="00E97743">
      <w:pPr>
        <w:pStyle w:val="IPPNormal"/>
      </w:pPr>
      <w:r w:rsidRPr="007D2212">
        <w:rPr>
          <w:rStyle w:val="PleaseReviewParagraphId"/>
        </w:rPr>
        <w:t>[132]</w:t>
      </w:r>
      <w:r w:rsidRPr="007D2212">
        <w:t xml:space="preserve">For aculeus examination, the dissection should be </w:t>
      </w:r>
      <w:r w:rsidR="00DB5A6E">
        <w:t>carried out</w:t>
      </w:r>
      <w:r w:rsidRPr="007D2212">
        <w:t xml:space="preserve"> in a drop of glycerol with two fine forceps (</w:t>
      </w:r>
      <w:r w:rsidRPr="007D2212">
        <w:rPr>
          <w:rFonts w:eastAsiaTheme="minorEastAsia"/>
          <w:lang w:eastAsia="ja-JP"/>
        </w:rPr>
        <w:t xml:space="preserve">or </w:t>
      </w:r>
      <w:r w:rsidRPr="007D2212">
        <w:t>dissection needles). The oviscape should be broken from the rest of the abdomen and</w:t>
      </w:r>
      <w:r w:rsidRPr="007D2212">
        <w:rPr>
          <w:rFonts w:eastAsiaTheme="minorEastAsia"/>
          <w:lang w:eastAsia="ja-JP"/>
        </w:rPr>
        <w:t xml:space="preserve"> then it is possible to </w:t>
      </w:r>
      <w:r w:rsidRPr="007D2212">
        <w:t>telescope the aculeus out of the oviscape by gently squeezing the oviscape with one pin (Figure 5(</w:t>
      </w:r>
      <w:r w:rsidRPr="007D2212">
        <w:rPr>
          <w:rFonts w:eastAsiaTheme="minorEastAsia"/>
          <w:lang w:eastAsia="ja-JP"/>
        </w:rPr>
        <w:t>b)</w:t>
      </w:r>
      <w:r w:rsidRPr="007D2212">
        <w:t>).</w:t>
      </w:r>
      <w:r w:rsidRPr="007D2212">
        <w:rPr>
          <w:rFonts w:eastAsiaTheme="minorEastAsia"/>
          <w:lang w:eastAsia="ja-JP"/>
        </w:rPr>
        <w:t xml:space="preserve"> </w:t>
      </w:r>
      <w:r w:rsidRPr="007D2212">
        <w:t xml:space="preserve">It is necessary to finish removal of the aculeus by holding the oviscape with one pin and pulling the aculeus out with the other (for more details, see Foote </w:t>
      </w:r>
      <w:r w:rsidRPr="007D2212">
        <w:rPr>
          <w:i/>
        </w:rPr>
        <w:t>et</w:t>
      </w:r>
      <w:r w:rsidRPr="007D2212">
        <w:rPr>
          <w:rFonts w:ascii="Arial" w:hAnsi="Arial" w:cs="Arial"/>
          <w:i/>
          <w:color w:val="000000"/>
          <w:sz w:val="18"/>
          <w:szCs w:val="18"/>
        </w:rPr>
        <w:t> </w:t>
      </w:r>
      <w:r w:rsidRPr="007D2212">
        <w:rPr>
          <w:i/>
        </w:rPr>
        <w:t>al</w:t>
      </w:r>
      <w:r w:rsidRPr="007D2212">
        <w:t>., 1993). If the telescoping method fails, the oviscape will need to be torn open to remove the aculeus.</w:t>
      </w:r>
    </w:p>
    <w:p w14:paraId="68EBCC66" w14:textId="77777777" w:rsidR="00612969" w:rsidRPr="007D2212" w:rsidRDefault="00E97743">
      <w:pPr>
        <w:pStyle w:val="IPPNormal"/>
      </w:pPr>
      <w:r w:rsidRPr="007D2212">
        <w:rPr>
          <w:rStyle w:val="PleaseReviewParagraphId"/>
        </w:rPr>
        <w:t>[133]</w:t>
      </w:r>
      <w:r w:rsidRPr="007D2212">
        <w:rPr>
          <w:rFonts w:eastAsiaTheme="minorEastAsia"/>
          <w:lang w:eastAsia="ja-JP"/>
        </w:rPr>
        <w:t xml:space="preserve">For aedeagus examination, it is recommended that </w:t>
      </w:r>
      <w:r w:rsidRPr="007D2212">
        <w:t>the epandrium–surstylus assemblage (Figure 6(c)) be pulled from the rest of the abdomen. Using two pins, it is possible to straighten the aedeagus (Figure 7). It is then recommended that a small coverslip be placed over the aedeagus</w:t>
      </w:r>
      <w:r w:rsidRPr="007D2212">
        <w:rPr>
          <w:rFonts w:eastAsiaTheme="minorEastAsia"/>
          <w:lang w:eastAsia="ja-JP"/>
        </w:rPr>
        <w:t xml:space="preserve">, </w:t>
      </w:r>
      <w:r w:rsidRPr="007D2212">
        <w:t>leaving the epandrium, hypandrium and aedeagus base outside of the coverslip. The coverslip is carefully moved away from the epandrium so as to</w:t>
      </w:r>
      <w:r w:rsidRPr="007D2212">
        <w:rPr>
          <w:rFonts w:eastAsiaTheme="minorEastAsia"/>
          <w:lang w:eastAsia="ja-JP"/>
        </w:rPr>
        <w:t xml:space="preserve"> </w:t>
      </w:r>
      <w:r w:rsidRPr="007D2212">
        <w:t>stretch the aedeagus out into a straight line. It is then measured from the base of the basiphallus (enclosed by the hypandrium) to just before the aedeagal glans (Figure 7(d))</w:t>
      </w:r>
      <w:r w:rsidRPr="007D2212">
        <w:rPr>
          <w:rFonts w:eastAsiaTheme="minorEastAsia"/>
          <w:lang w:eastAsia="ja-JP"/>
        </w:rPr>
        <w:t xml:space="preserve">. In general, the </w:t>
      </w:r>
      <w:r w:rsidRPr="007D2212">
        <w:t>aedeagus</w:t>
      </w:r>
      <w:r w:rsidRPr="007D2212">
        <w:rPr>
          <w:rFonts w:eastAsiaTheme="minorEastAsia"/>
          <w:lang w:eastAsia="ja-JP"/>
        </w:rPr>
        <w:t xml:space="preserve"> should </w:t>
      </w:r>
      <w:r w:rsidRPr="007D2212">
        <w:t>be preserved in glycerol. However, if the specimens are to be used only for measurement, it is sufficient to glue onto a paper stage.</w:t>
      </w:r>
    </w:p>
    <w:p w14:paraId="390D5513" w14:textId="77777777" w:rsidR="00612969" w:rsidRPr="007D2212" w:rsidRDefault="00E97743">
      <w:pPr>
        <w:pStyle w:val="IPPHeading2"/>
      </w:pPr>
      <w:r w:rsidRPr="007D2212">
        <w:rPr>
          <w:rStyle w:val="PleaseReviewParagraphId"/>
          <w:b w:val="0"/>
        </w:rPr>
        <w:t>[134]</w:t>
      </w:r>
      <w:r w:rsidRPr="007D2212">
        <w:t>4.</w:t>
      </w:r>
      <w:r w:rsidRPr="007D2212">
        <w:rPr>
          <w:rFonts w:eastAsiaTheme="minorEastAsia"/>
          <w:lang w:eastAsia="ja-JP"/>
        </w:rPr>
        <w:t>2</w:t>
      </w:r>
      <w:r w:rsidRPr="007D2212">
        <w:rPr>
          <w:rFonts w:eastAsiaTheme="minorEastAsia"/>
          <w:lang w:eastAsia="ja-JP"/>
        </w:rPr>
        <w:tab/>
      </w:r>
      <w:r w:rsidRPr="007D2212">
        <w:t>Morphological identification of adults</w:t>
      </w:r>
    </w:p>
    <w:p w14:paraId="4F858295" w14:textId="77777777" w:rsidR="00612969" w:rsidRPr="007D2212" w:rsidRDefault="00E97743">
      <w:pPr>
        <w:pStyle w:val="IPPNormal"/>
        <w:rPr>
          <w:b/>
        </w:rPr>
      </w:pPr>
      <w:r w:rsidRPr="007D2212">
        <w:rPr>
          <w:rStyle w:val="PleaseReviewParagraphId"/>
        </w:rPr>
        <w:t>[135]</w:t>
      </w:r>
      <w:r w:rsidRPr="007D2212">
        <w:t xml:space="preserve">Members of the </w:t>
      </w:r>
      <w:r w:rsidRPr="007D2212">
        <w:rPr>
          <w:i/>
        </w:rPr>
        <w:t>Bactrocera dorsalis</w:t>
      </w:r>
      <w:r w:rsidRPr="007D2212">
        <w:t xml:space="preserve"> complex are identified using a combination of morphological characters. The diagnostic characters required to complete an identification to the six species covered by this protocol and to the </w:t>
      </w:r>
      <w:r w:rsidRPr="007D2212">
        <w:rPr>
          <w:i/>
        </w:rPr>
        <w:t>B</w:t>
      </w:r>
      <w:r w:rsidRPr="007D2212">
        <w:rPr>
          <w:rFonts w:eastAsiaTheme="minorEastAsia"/>
          <w:i/>
          <w:lang w:eastAsia="ja-JP"/>
        </w:rPr>
        <w:t>actrocera</w:t>
      </w:r>
      <w:r w:rsidRPr="007D2212">
        <w:rPr>
          <w:i/>
        </w:rPr>
        <w:t xml:space="preserve"> dorsalis</w:t>
      </w:r>
      <w:r w:rsidRPr="007D2212">
        <w:t xml:space="preserve"> complex as a whole are provided below. Additional resources on general characters for tephritid fruit fly identification are provided in White and Elson-Harris (199</w:t>
      </w:r>
      <w:r w:rsidRPr="007D2212">
        <w:rPr>
          <w:rFonts w:eastAsiaTheme="minorEastAsia"/>
          <w:lang w:eastAsia="ja-JP"/>
        </w:rPr>
        <w:t>2</w:t>
      </w:r>
      <w:r w:rsidRPr="007D2212">
        <w:t>).</w:t>
      </w:r>
    </w:p>
    <w:p w14:paraId="4FEF6F4F" w14:textId="0883EC9B" w:rsidR="00612969" w:rsidRPr="007D2212" w:rsidRDefault="00E97743" w:rsidP="00A4522D">
      <w:pPr>
        <w:pStyle w:val="IPPHeading2"/>
      </w:pPr>
      <w:r w:rsidRPr="007D2212">
        <w:rPr>
          <w:rStyle w:val="PleaseReviewParagraphId"/>
          <w:b w:val="0"/>
        </w:rPr>
        <w:t>[136]</w:t>
      </w:r>
      <w:r w:rsidRPr="007D2212">
        <w:t>4.</w:t>
      </w:r>
      <w:r w:rsidRPr="007D2212">
        <w:rPr>
          <w:rFonts w:eastAsiaTheme="minorEastAsia"/>
          <w:lang w:eastAsia="ja-JP"/>
        </w:rPr>
        <w:t>2</w:t>
      </w:r>
      <w:r w:rsidRPr="007D2212">
        <w:t>.1</w:t>
      </w:r>
      <w:r w:rsidRPr="007D2212">
        <w:tab/>
        <w:t xml:space="preserve">Characters to identify the subgenus </w:t>
      </w:r>
      <w:r w:rsidRPr="00A4522D">
        <w:rPr>
          <w:i/>
          <w:iCs/>
        </w:rPr>
        <w:t>Bactrocera</w:t>
      </w:r>
      <w:r w:rsidRPr="007D2212">
        <w:rPr>
          <w:iCs/>
        </w:rPr>
        <w:t xml:space="preserve"> (</w:t>
      </w:r>
      <w:r w:rsidRPr="00A4522D">
        <w:rPr>
          <w:i/>
        </w:rPr>
        <w:t>Bactrocera</w:t>
      </w:r>
      <w:r w:rsidRPr="007D2212">
        <w:t>)</w:t>
      </w:r>
    </w:p>
    <w:p w14:paraId="2F8E1A18" w14:textId="7CB0FC52" w:rsidR="00612969" w:rsidRPr="007D2212" w:rsidRDefault="00E97743">
      <w:pPr>
        <w:pStyle w:val="IPPNormal"/>
      </w:pPr>
      <w:r w:rsidRPr="007D2212">
        <w:rPr>
          <w:rStyle w:val="PleaseReviewParagraphId"/>
        </w:rPr>
        <w:t>[137]</w:t>
      </w:r>
      <w:r w:rsidRPr="007D2212">
        <w:t xml:space="preserve">Methods to identify fly specimens to the genus </w:t>
      </w:r>
      <w:r w:rsidRPr="007D2212">
        <w:rPr>
          <w:i/>
        </w:rPr>
        <w:t>Bactrocera</w:t>
      </w:r>
      <w:r w:rsidRPr="007D2212">
        <w:t xml:space="preserve"> are not within the scope of the current protocol. However, proper screening of specimens is important to ensure that flies being diagnosed are within the subgenus </w:t>
      </w:r>
      <w:r w:rsidRPr="007D2212">
        <w:rPr>
          <w:i/>
          <w:iCs/>
        </w:rPr>
        <w:t xml:space="preserve">Bactrocera </w:t>
      </w:r>
      <w:r w:rsidRPr="007D2212">
        <w:rPr>
          <w:iCs/>
        </w:rPr>
        <w:t>(</w:t>
      </w:r>
      <w:r w:rsidRPr="007D2212">
        <w:rPr>
          <w:i/>
        </w:rPr>
        <w:t>Bactrocera</w:t>
      </w:r>
      <w:r w:rsidRPr="007D2212">
        <w:t xml:space="preserve">). The work of White and Elson-Harris (1992) provides a useful resource for those general identifications. Characters used to identify fruit flies to the tribe Dacini, including the genus </w:t>
      </w:r>
      <w:r w:rsidRPr="007D2212">
        <w:rPr>
          <w:i/>
        </w:rPr>
        <w:t>Bactrocera</w:t>
      </w:r>
      <w:r w:rsidRPr="007D2212">
        <w:t xml:space="preserve">, are useful in the identification of flies to the subgenus </w:t>
      </w:r>
      <w:r w:rsidRPr="007D2212">
        <w:rPr>
          <w:i/>
        </w:rPr>
        <w:t>Bactrocera</w:t>
      </w:r>
      <w:r w:rsidRPr="007D2212">
        <w:t xml:space="preserve"> (</w:t>
      </w:r>
      <w:r w:rsidRPr="007D2212">
        <w:rPr>
          <w:i/>
        </w:rPr>
        <w:t>Bactrocera</w:t>
      </w:r>
      <w:r w:rsidRPr="007D2212">
        <w:t>). These flies have reduced chaetotaxies on the head, with ocellar (Figure 8(</w:t>
      </w:r>
      <w:r w:rsidR="000E7446" w:rsidRPr="007D2212">
        <w:t>c</w:t>
      </w:r>
      <w:r w:rsidRPr="007D2212">
        <w:t>)) and postocellar (Figure 8(</w:t>
      </w:r>
      <w:r w:rsidR="000E7446" w:rsidRPr="007D2212">
        <w:t>c</w:t>
      </w:r>
      <w:r w:rsidRPr="007D2212">
        <w:t>)) bristles absent (atrophied); the first flagellomere</w:t>
      </w:r>
      <w:r w:rsidRPr="007D2212">
        <w:rPr>
          <w:rFonts w:eastAsiaTheme="minorEastAsia"/>
          <w:lang w:eastAsia="ja-JP"/>
        </w:rPr>
        <w:t xml:space="preserve"> (Figure 8(a))</w:t>
      </w:r>
      <w:r w:rsidRPr="007D2212">
        <w:t xml:space="preserve"> is at least three times as long as broad; and wing </w:t>
      </w:r>
      <w:r w:rsidRPr="007D2212">
        <w:rPr>
          <w:rFonts w:eastAsiaTheme="minorEastAsia"/>
          <w:lang w:eastAsia="ja-JP"/>
        </w:rPr>
        <w:t xml:space="preserve">cell </w:t>
      </w:r>
      <w:r w:rsidRPr="007D2212">
        <w:t xml:space="preserve">cup extension is very long (Figure 9(a)). In addition to these characteristics, fruit flies of the genus </w:t>
      </w:r>
      <w:r w:rsidRPr="007D2212">
        <w:rPr>
          <w:i/>
        </w:rPr>
        <w:t>Bactrocera</w:t>
      </w:r>
      <w:r w:rsidRPr="007D2212">
        <w:t xml:space="preserve"> have separate abdominal tergites (Figure 6(a)) (except for first and second tergites). In addition to the above characteristics of the genus </w:t>
      </w:r>
      <w:r w:rsidRPr="007D2212">
        <w:rPr>
          <w:i/>
        </w:rPr>
        <w:t>Bactrocera</w:t>
      </w:r>
      <w:r w:rsidRPr="007D2212">
        <w:t xml:space="preserve">, the subgenus </w:t>
      </w:r>
      <w:r w:rsidRPr="007D2212">
        <w:rPr>
          <w:i/>
        </w:rPr>
        <w:t>Bactrocera</w:t>
      </w:r>
      <w:r w:rsidRPr="007D2212">
        <w:t xml:space="preserve"> also has the characteristics listed below.</w:t>
      </w:r>
    </w:p>
    <w:p w14:paraId="798BCFE0" w14:textId="2CCCE248" w:rsidR="00612969" w:rsidRPr="007D2212" w:rsidRDefault="00E97743">
      <w:pPr>
        <w:pStyle w:val="IPPNormal"/>
        <w:rPr>
          <w:b/>
          <w:iCs/>
        </w:rPr>
      </w:pPr>
      <w:r w:rsidRPr="007D2212">
        <w:rPr>
          <w:rStyle w:val="PleaseReviewParagraphId"/>
        </w:rPr>
        <w:t>[138]</w:t>
      </w:r>
      <w:r w:rsidRPr="007D2212">
        <w:t xml:space="preserve">The presence of diagnostic characters of other </w:t>
      </w:r>
      <w:r w:rsidRPr="007D2212">
        <w:rPr>
          <w:i/>
        </w:rPr>
        <w:t xml:space="preserve">Bactrocera </w:t>
      </w:r>
      <w:r w:rsidRPr="007D2212">
        <w:t>subgenera is useful in diagnosing flies</w:t>
      </w:r>
      <w:r w:rsidR="0066219B">
        <w:t xml:space="preserve">, </w:t>
      </w:r>
      <w:r w:rsidR="0066219B" w:rsidRPr="007D2212">
        <w:t>via exclusion</w:t>
      </w:r>
      <w:r w:rsidR="0066219B">
        <w:t>,</w:t>
      </w:r>
      <w:r w:rsidRPr="007D2212">
        <w:t xml:space="preserve"> as not being members of the </w:t>
      </w:r>
      <w:r w:rsidRPr="007D2212">
        <w:rPr>
          <w:i/>
        </w:rPr>
        <w:t>Bactrocera</w:t>
      </w:r>
      <w:r w:rsidRPr="007D2212">
        <w:t xml:space="preserve"> </w:t>
      </w:r>
      <w:r w:rsidRPr="007D2212">
        <w:rPr>
          <w:i/>
        </w:rPr>
        <w:t>dorsalis</w:t>
      </w:r>
      <w:r w:rsidRPr="007D2212">
        <w:t xml:space="preserve"> complex. For example, flies in the subgenus </w:t>
      </w:r>
      <w:r w:rsidRPr="007D2212">
        <w:rPr>
          <w:i/>
        </w:rPr>
        <w:t xml:space="preserve">Bactrocera </w:t>
      </w:r>
      <w:r w:rsidRPr="007D2212">
        <w:t>(</w:t>
      </w:r>
      <w:r w:rsidRPr="007D2212">
        <w:rPr>
          <w:i/>
        </w:rPr>
        <w:t>Afrodacus</w:t>
      </w:r>
      <w:r w:rsidRPr="007D2212">
        <w:t>)</w:t>
      </w:r>
      <w:r w:rsidRPr="007D2212">
        <w:rPr>
          <w:rFonts w:eastAsiaTheme="minorEastAsia"/>
          <w:lang w:eastAsia="ja-JP"/>
        </w:rPr>
        <w:t xml:space="preserve"> </w:t>
      </w:r>
      <w:r w:rsidRPr="007D2212">
        <w:t xml:space="preserve">lack </w:t>
      </w:r>
      <w:r w:rsidRPr="007D2212">
        <w:rPr>
          <w:rFonts w:eastAsiaTheme="minorEastAsia"/>
          <w:lang w:eastAsia="ja-JP"/>
        </w:rPr>
        <w:t xml:space="preserve">anterior supra-alar </w:t>
      </w:r>
      <w:r w:rsidRPr="007D2212">
        <w:t xml:space="preserve">bristles (Figure 10) and flies in the subgenus </w:t>
      </w:r>
      <w:r w:rsidRPr="007D2212">
        <w:rPr>
          <w:i/>
        </w:rPr>
        <w:t xml:space="preserve">Bactrocera </w:t>
      </w:r>
      <w:r w:rsidRPr="007D2212">
        <w:t>(</w:t>
      </w:r>
      <w:r w:rsidRPr="007D2212">
        <w:rPr>
          <w:i/>
        </w:rPr>
        <w:t>Gymnodacus</w:t>
      </w:r>
      <w:r w:rsidRPr="007D2212">
        <w:t>) lack pectens on tergite 3 (Figure 6</w:t>
      </w:r>
      <w:r w:rsidR="00F20F70" w:rsidRPr="007D2212">
        <w:t>(a)</w:t>
      </w:r>
      <w:r w:rsidRPr="007D2212">
        <w:t>).</w:t>
      </w:r>
      <w:r w:rsidRPr="007D2212">
        <w:rPr>
          <w:rFonts w:eastAsiaTheme="minorEastAsia"/>
          <w:lang w:eastAsia="ja-JP"/>
        </w:rPr>
        <w:t xml:space="preserve"> The characters listed below are used for defining the subgenus </w:t>
      </w:r>
      <w:r w:rsidRPr="007D2212">
        <w:rPr>
          <w:rFonts w:eastAsiaTheme="minorEastAsia"/>
          <w:i/>
          <w:lang w:eastAsia="ja-JP"/>
        </w:rPr>
        <w:t>Bactrocera</w:t>
      </w:r>
      <w:r w:rsidRPr="007D2212">
        <w:rPr>
          <w:rFonts w:eastAsiaTheme="minorEastAsia"/>
          <w:lang w:eastAsia="ja-JP"/>
        </w:rPr>
        <w:t>.</w:t>
      </w:r>
      <w:r w:rsidRPr="007D2212">
        <w:t xml:space="preserve"> In starting identification, it is important to confirm that the fruit flies in question meet the definition. At this stage of identification, superficially similar species in other subgenera such as </w:t>
      </w:r>
      <w:r w:rsidRPr="007D2212">
        <w:rPr>
          <w:i/>
        </w:rPr>
        <w:t xml:space="preserve">Afrodacus </w:t>
      </w:r>
      <w:r w:rsidRPr="007D2212">
        <w:t xml:space="preserve">or </w:t>
      </w:r>
      <w:r w:rsidRPr="007D2212">
        <w:rPr>
          <w:i/>
        </w:rPr>
        <w:t>Gymnodacus</w:t>
      </w:r>
      <w:r w:rsidRPr="007D2212">
        <w:t xml:space="preserve"> that could be intercepted during plant inspection can be excluded.</w:t>
      </w:r>
    </w:p>
    <w:p w14:paraId="03B2B752" w14:textId="77777777" w:rsidR="00612969" w:rsidRPr="007D2212" w:rsidRDefault="00E97743">
      <w:pPr>
        <w:pStyle w:val="IPPNormalCloseSpace"/>
        <w:rPr>
          <w:b/>
          <w:bCs/>
          <w:iCs/>
        </w:rPr>
      </w:pPr>
      <w:r w:rsidRPr="007D2212">
        <w:rPr>
          <w:rStyle w:val="PleaseReviewParagraphId"/>
        </w:rPr>
        <w:t>[139]</w:t>
      </w:r>
      <w:r w:rsidRPr="007D2212">
        <w:rPr>
          <w:b/>
          <w:bCs/>
        </w:rPr>
        <w:t xml:space="preserve">List of diagnostic characters of subgenus </w:t>
      </w:r>
      <w:r w:rsidRPr="007D2212">
        <w:rPr>
          <w:b/>
          <w:bCs/>
          <w:i/>
          <w:iCs/>
        </w:rPr>
        <w:t xml:space="preserve">Bactrocera </w:t>
      </w:r>
      <w:r w:rsidRPr="007D2212">
        <w:rPr>
          <w:b/>
          <w:bCs/>
          <w:iCs/>
        </w:rPr>
        <w:t>(</w:t>
      </w:r>
      <w:r w:rsidRPr="007D2212">
        <w:rPr>
          <w:b/>
          <w:bCs/>
          <w:i/>
        </w:rPr>
        <w:t>Bactrocera</w:t>
      </w:r>
      <w:r w:rsidRPr="007D2212">
        <w:rPr>
          <w:b/>
          <w:bCs/>
        </w:rPr>
        <w:t>):</w:t>
      </w:r>
    </w:p>
    <w:p w14:paraId="7A2F6A7A" w14:textId="77777777" w:rsidR="00612969" w:rsidRPr="007D2212" w:rsidRDefault="00E97743">
      <w:pPr>
        <w:pStyle w:val="IPPBullet1"/>
        <w:rPr>
          <w:lang w:val="en-GB"/>
        </w:rPr>
      </w:pPr>
      <w:r w:rsidRPr="007D2212">
        <w:rPr>
          <w:rStyle w:val="PleaseReviewParagraphId"/>
          <w:lang w:val="en-GB"/>
        </w:rPr>
        <w:t>[140]</w:t>
      </w:r>
      <w:r w:rsidRPr="007D2212">
        <w:rPr>
          <w:lang w:val="en-GB"/>
        </w:rPr>
        <w:t>posterior lobe of male surstylus short (Figure 6(c))</w:t>
      </w:r>
    </w:p>
    <w:p w14:paraId="0814B22D" w14:textId="77777777" w:rsidR="00612969" w:rsidRPr="007D2212" w:rsidRDefault="00E97743">
      <w:pPr>
        <w:pStyle w:val="IPPBullet1"/>
        <w:rPr>
          <w:lang w:val="en-GB"/>
        </w:rPr>
      </w:pPr>
      <w:r w:rsidRPr="007D2212">
        <w:rPr>
          <w:rStyle w:val="PleaseReviewParagraphId"/>
          <w:lang w:val="en-GB"/>
        </w:rPr>
        <w:t>[141]</w:t>
      </w:r>
      <w:r w:rsidRPr="007D2212">
        <w:rPr>
          <w:lang w:val="en-GB"/>
        </w:rPr>
        <w:t>abdominal stern</w:t>
      </w:r>
      <w:r w:rsidRPr="007D2212">
        <w:rPr>
          <w:rFonts w:eastAsiaTheme="minorEastAsia"/>
          <w:lang w:val="en-GB" w:eastAsia="ja-JP"/>
        </w:rPr>
        <w:t>ite </w:t>
      </w:r>
      <w:r w:rsidRPr="007D2212">
        <w:rPr>
          <w:lang w:val="en-GB"/>
        </w:rPr>
        <w:t>5 of male deeply concave on posterior margin (Figure 6(b))</w:t>
      </w:r>
    </w:p>
    <w:p w14:paraId="1D041289" w14:textId="10DFA4B5" w:rsidR="00612969" w:rsidRPr="007D2212" w:rsidRDefault="00E97743">
      <w:pPr>
        <w:pStyle w:val="IPPBullet1"/>
        <w:rPr>
          <w:lang w:val="en-GB"/>
        </w:rPr>
      </w:pPr>
      <w:r w:rsidRPr="007D2212">
        <w:rPr>
          <w:rStyle w:val="PleaseReviewParagraphId"/>
          <w:lang w:val="en-GB"/>
        </w:rPr>
        <w:t>[142]</w:t>
      </w:r>
      <w:r w:rsidRPr="007D2212">
        <w:rPr>
          <w:lang w:val="en-GB"/>
        </w:rPr>
        <w:t xml:space="preserve">abdominal </w:t>
      </w:r>
      <w:r w:rsidR="00F20F70" w:rsidRPr="007D2212">
        <w:rPr>
          <w:lang w:val="en-GB"/>
        </w:rPr>
        <w:t>tergite</w:t>
      </w:r>
      <w:r w:rsidR="00F20F70" w:rsidRPr="007D2212">
        <w:rPr>
          <w:rFonts w:eastAsiaTheme="minorEastAsia"/>
          <w:lang w:val="en-GB" w:eastAsia="ja-JP"/>
        </w:rPr>
        <w:t> </w:t>
      </w:r>
      <w:r w:rsidRPr="007D2212">
        <w:rPr>
          <w:lang w:val="en-GB"/>
        </w:rPr>
        <w:t>5 of male with pecten (Figure 6(a))</w:t>
      </w:r>
    </w:p>
    <w:p w14:paraId="4047CF5C" w14:textId="77777777" w:rsidR="00612969" w:rsidRPr="007D2212" w:rsidRDefault="00E97743">
      <w:pPr>
        <w:pStyle w:val="IPPBullet1"/>
        <w:rPr>
          <w:lang w:val="en-GB"/>
        </w:rPr>
      </w:pPr>
      <w:r w:rsidRPr="007D2212">
        <w:rPr>
          <w:rStyle w:val="PleaseReviewParagraphId"/>
          <w:lang w:val="en-GB"/>
        </w:rPr>
        <w:lastRenderedPageBreak/>
        <w:t>[143]</w:t>
      </w:r>
      <w:r w:rsidRPr="007D2212">
        <w:rPr>
          <w:lang w:val="en-GB"/>
        </w:rPr>
        <w:t>postpronotal bristles absent</w:t>
      </w:r>
      <w:r w:rsidRPr="007D2212">
        <w:rPr>
          <w:rFonts w:eastAsiaTheme="minorEastAsia"/>
          <w:lang w:val="en-GB" w:eastAsia="ja-JP"/>
        </w:rPr>
        <w:t xml:space="preserve"> (Figure 10)</w:t>
      </w:r>
    </w:p>
    <w:p w14:paraId="1DEAE21A" w14:textId="77777777" w:rsidR="00612969" w:rsidRPr="007D2212" w:rsidRDefault="00E97743">
      <w:pPr>
        <w:pStyle w:val="IPPBullet1"/>
        <w:rPr>
          <w:lang w:val="en-GB"/>
        </w:rPr>
      </w:pPr>
      <w:r w:rsidRPr="007D2212">
        <w:rPr>
          <w:rStyle w:val="PleaseReviewParagraphId"/>
          <w:lang w:val="en-GB"/>
        </w:rPr>
        <w:t>[144]</w:t>
      </w:r>
      <w:r w:rsidRPr="007D2212">
        <w:rPr>
          <w:lang w:val="en-GB"/>
        </w:rPr>
        <w:t>anterior supra-alar (</w:t>
      </w:r>
      <w:r w:rsidRPr="007D2212">
        <w:rPr>
          <w:rFonts w:eastAsiaTheme="minorEastAsia"/>
          <w:lang w:val="en-GB" w:eastAsia="ja-JP"/>
        </w:rPr>
        <w:t xml:space="preserve">a. </w:t>
      </w:r>
      <w:r w:rsidRPr="007D2212">
        <w:rPr>
          <w:lang w:val="en-GB"/>
        </w:rPr>
        <w:t>sa.) bristles present (Figure 10)</w:t>
      </w:r>
    </w:p>
    <w:p w14:paraId="56F0C594" w14:textId="77777777" w:rsidR="00612969" w:rsidRPr="007D2212" w:rsidRDefault="00E97743">
      <w:pPr>
        <w:pStyle w:val="IPPBullet1"/>
        <w:rPr>
          <w:lang w:val="en-GB"/>
        </w:rPr>
      </w:pPr>
      <w:r w:rsidRPr="007D2212">
        <w:rPr>
          <w:rStyle w:val="PleaseReviewParagraphId"/>
          <w:lang w:val="en-GB"/>
        </w:rPr>
        <w:t>[145]</w:t>
      </w:r>
      <w:r w:rsidRPr="007D2212">
        <w:rPr>
          <w:rFonts w:eastAsiaTheme="minorEastAsia"/>
          <w:lang w:val="en-GB" w:eastAsia="ja-JP"/>
        </w:rPr>
        <w:t>p</w:t>
      </w:r>
      <w:r w:rsidRPr="007D2212">
        <w:rPr>
          <w:lang w:val="en-GB"/>
        </w:rPr>
        <w:t>rescutellar</w:t>
      </w:r>
      <w:r w:rsidRPr="007D2212">
        <w:rPr>
          <w:rFonts w:eastAsiaTheme="minorEastAsia"/>
          <w:lang w:val="en-GB" w:eastAsia="ja-JP"/>
        </w:rPr>
        <w:t xml:space="preserve"> </w:t>
      </w:r>
      <w:r w:rsidRPr="007D2212">
        <w:rPr>
          <w:lang w:val="en-GB"/>
        </w:rPr>
        <w:t>acrostichal (prsc.) bristles usually present (Figure 10)</w:t>
      </w:r>
    </w:p>
    <w:p w14:paraId="6DD89934" w14:textId="77777777" w:rsidR="00612969" w:rsidRPr="007D2212" w:rsidRDefault="00E97743">
      <w:pPr>
        <w:pStyle w:val="IPPBullet1Last"/>
      </w:pPr>
      <w:r w:rsidRPr="007D2212">
        <w:rPr>
          <w:rStyle w:val="PleaseReviewParagraphId"/>
        </w:rPr>
        <w:t>[146]</w:t>
      </w:r>
      <w:r w:rsidRPr="007D2212">
        <w:t xml:space="preserve">one pair of </w:t>
      </w:r>
      <w:r w:rsidR="00F20F70" w:rsidRPr="007D2212">
        <w:t xml:space="preserve">apical </w:t>
      </w:r>
      <w:r w:rsidRPr="007D2212">
        <w:t>scutellar (sc.) bristles present (Figure 10).</w:t>
      </w:r>
    </w:p>
    <w:p w14:paraId="297A42F3" w14:textId="77777777" w:rsidR="00612969" w:rsidRPr="007D2212" w:rsidRDefault="00E97743" w:rsidP="00A4522D">
      <w:pPr>
        <w:pStyle w:val="IPPHeading2"/>
      </w:pPr>
      <w:r w:rsidRPr="007D2212">
        <w:rPr>
          <w:rStyle w:val="PleaseReviewParagraphId"/>
          <w:b w:val="0"/>
        </w:rPr>
        <w:t>[147]</w:t>
      </w:r>
      <w:r w:rsidRPr="007D2212">
        <w:t>4.2.2</w:t>
      </w:r>
      <w:r w:rsidRPr="007D2212">
        <w:tab/>
        <w:t xml:space="preserve">Characters to identify the </w:t>
      </w:r>
      <w:r w:rsidRPr="00A4522D">
        <w:rPr>
          <w:i/>
        </w:rPr>
        <w:t>Bactrocera dorsalis</w:t>
      </w:r>
      <w:r w:rsidRPr="007D2212">
        <w:t xml:space="preserve"> complex</w:t>
      </w:r>
    </w:p>
    <w:p w14:paraId="52671CD9" w14:textId="14252D4A" w:rsidR="00612969" w:rsidRPr="007D2212" w:rsidRDefault="00E97743">
      <w:pPr>
        <w:pStyle w:val="IPPNormal"/>
      </w:pPr>
      <w:r w:rsidRPr="007D2212">
        <w:rPr>
          <w:rStyle w:val="PleaseReviewParagraphId"/>
        </w:rPr>
        <w:t>[148]</w:t>
      </w:r>
      <w:r w:rsidRPr="007D2212">
        <w:t>Characters useful for the</w:t>
      </w:r>
      <w:r w:rsidRPr="007D2212">
        <w:rPr>
          <w:rFonts w:eastAsiaTheme="minorEastAsia"/>
          <w:lang w:eastAsia="ja-JP"/>
        </w:rPr>
        <w:t xml:space="preserve"> identification of </w:t>
      </w:r>
      <w:r w:rsidRPr="007D2212">
        <w:t xml:space="preserve">adult flies following the terminology of Drew and </w:t>
      </w:r>
      <w:r w:rsidRPr="007D2212">
        <w:rPr>
          <w:rFonts w:eastAsiaTheme="minorEastAsia"/>
          <w:lang w:eastAsia="ja-JP"/>
        </w:rPr>
        <w:t>Romig</w:t>
      </w:r>
      <w:r w:rsidRPr="007D2212">
        <w:t xml:space="preserve"> (</w:t>
      </w:r>
      <w:r w:rsidRPr="007D2212">
        <w:rPr>
          <w:rFonts w:eastAsiaTheme="minorEastAsia"/>
          <w:lang w:eastAsia="ja-JP"/>
        </w:rPr>
        <w:t>2013</w:t>
      </w:r>
      <w:r w:rsidRPr="007D2212">
        <w:t xml:space="preserve">) are listed in Table 2. The </w:t>
      </w:r>
      <w:r w:rsidR="00630EDA" w:rsidRPr="007D2212">
        <w:t>set of characters used to identify</w:t>
      </w:r>
      <w:r w:rsidRPr="007D2212">
        <w:t xml:space="preserve"> the </w:t>
      </w:r>
      <w:r w:rsidRPr="007D2212">
        <w:rPr>
          <w:i/>
        </w:rPr>
        <w:t>Bactrocera dorsalis</w:t>
      </w:r>
      <w:r w:rsidRPr="007D2212">
        <w:t xml:space="preserve"> complex in this protocol follows Drew and Romig (2013) except for scutum</w:t>
      </w:r>
      <w:r w:rsidRPr="007D2212">
        <w:rPr>
          <w:rFonts w:eastAsiaTheme="minorEastAsia"/>
          <w:lang w:eastAsia="ja-JP"/>
        </w:rPr>
        <w:t xml:space="preserve"> </w:t>
      </w:r>
      <w:r w:rsidRPr="007D2212">
        <w:t xml:space="preserve">colour. </w:t>
      </w:r>
      <w:r w:rsidRPr="007D2212">
        <w:rPr>
          <w:lang w:eastAsia="ja-JP"/>
        </w:rPr>
        <w:t>Scutum colour in Drew and Romig (2013) is black, but herein black and red</w:t>
      </w:r>
      <w:r w:rsidR="0066219B">
        <w:rPr>
          <w:lang w:eastAsia="ja-JP"/>
        </w:rPr>
        <w:t>–</w:t>
      </w:r>
      <w:r w:rsidRPr="007D2212">
        <w:rPr>
          <w:lang w:eastAsia="ja-JP"/>
        </w:rPr>
        <w:t>brown</w:t>
      </w:r>
      <w:r w:rsidRPr="007D2212">
        <w:t xml:space="preserve"> are included in the description of the complex. A specimen must have characters that match the descriptions provided in Table 2 </w:t>
      </w:r>
      <w:r w:rsidR="00DB5A6E">
        <w:t xml:space="preserve">for the fly </w:t>
      </w:r>
      <w:r w:rsidRPr="007D2212">
        <w:t xml:space="preserve">to </w:t>
      </w:r>
      <w:r w:rsidR="00DB5A6E">
        <w:t xml:space="preserve">be </w:t>
      </w:r>
      <w:r w:rsidRPr="007D2212">
        <w:t>confidently identif</w:t>
      </w:r>
      <w:r w:rsidR="00DB5A6E">
        <w:t>ied</w:t>
      </w:r>
      <w:r w:rsidRPr="007D2212">
        <w:t xml:space="preserve"> as a </w:t>
      </w:r>
      <w:r w:rsidRPr="007D2212">
        <w:rPr>
          <w:i/>
        </w:rPr>
        <w:t>B.</w:t>
      </w:r>
      <w:r w:rsidR="00200FCC">
        <w:rPr>
          <w:i/>
        </w:rPr>
        <w:t> </w:t>
      </w:r>
      <w:r w:rsidRPr="007D2212">
        <w:rPr>
          <w:i/>
        </w:rPr>
        <w:t>dorsalis</w:t>
      </w:r>
      <w:r w:rsidRPr="007D2212">
        <w:t xml:space="preserve"> complex species.</w:t>
      </w:r>
    </w:p>
    <w:p w14:paraId="58CA8FFD" w14:textId="77777777" w:rsidR="00612969" w:rsidRPr="007D2212" w:rsidRDefault="00E97743">
      <w:pPr>
        <w:pStyle w:val="IPPNormal"/>
        <w:rPr>
          <w:b/>
        </w:rPr>
      </w:pPr>
      <w:r w:rsidRPr="007D2212">
        <w:rPr>
          <w:rStyle w:val="PleaseReviewParagraphId"/>
        </w:rPr>
        <w:t>[149]</w:t>
      </w:r>
      <w:r w:rsidRPr="007D2212">
        <w:rPr>
          <w:b/>
        </w:rPr>
        <w:t xml:space="preserve">Table 2. </w:t>
      </w:r>
      <w:r w:rsidRPr="007D2212">
        <w:t xml:space="preserve">A combination of characters to diagnose the </w:t>
      </w:r>
      <w:r w:rsidRPr="007D2212">
        <w:rPr>
          <w:i/>
        </w:rPr>
        <w:t>Bactrocera dorsalis</w:t>
      </w:r>
      <w:r w:rsidRPr="007D2212">
        <w:t xml:space="preserve"> complex</w:t>
      </w:r>
    </w:p>
    <w:tbl>
      <w:tblPr>
        <w:tblW w:w="8954" w:type="dxa"/>
        <w:tblInd w:w="113" w:type="dxa"/>
        <w:tblLook w:val="04A0" w:firstRow="1" w:lastRow="0" w:firstColumn="1" w:lastColumn="0" w:noHBand="0" w:noVBand="1"/>
      </w:tblPr>
      <w:tblGrid>
        <w:gridCol w:w="1373"/>
        <w:gridCol w:w="7581"/>
      </w:tblGrid>
      <w:tr w:rsidR="00612969" w:rsidRPr="007D2212" w14:paraId="14668F5C" w14:textId="77777777" w:rsidTr="004F7E07">
        <w:trPr>
          <w:trHeight w:val="288"/>
        </w:trPr>
        <w:tc>
          <w:tcPr>
            <w:tcW w:w="1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02D0F9" w14:textId="77777777" w:rsidR="00612969" w:rsidRPr="007D2212" w:rsidRDefault="00E97743">
            <w:pPr>
              <w:pStyle w:val="IPPArialTable"/>
            </w:pPr>
            <w:r w:rsidRPr="007D2212">
              <w:rPr>
                <w:rStyle w:val="PleaseReviewParagraphId"/>
              </w:rPr>
              <w:t>[150]</w:t>
            </w:r>
            <w:r w:rsidRPr="00A4522D">
              <w:rPr>
                <w:b/>
              </w:rPr>
              <w:t>Structure</w:t>
            </w:r>
          </w:p>
        </w:tc>
        <w:tc>
          <w:tcPr>
            <w:tcW w:w="758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D17C828" w14:textId="77777777" w:rsidR="00612969" w:rsidRPr="007D2212" w:rsidRDefault="00E97743">
            <w:pPr>
              <w:pStyle w:val="IPPArialTable"/>
            </w:pPr>
            <w:r w:rsidRPr="007D2212">
              <w:rPr>
                <w:rStyle w:val="PleaseReviewParagraphId"/>
              </w:rPr>
              <w:t>[151]</w:t>
            </w:r>
            <w:r w:rsidRPr="00A4522D">
              <w:rPr>
                <w:b/>
              </w:rPr>
              <w:t>Description</w:t>
            </w:r>
          </w:p>
        </w:tc>
      </w:tr>
      <w:tr w:rsidR="00612969" w:rsidRPr="007D2212" w14:paraId="14AA07E7" w14:textId="77777777" w:rsidTr="004F7E07">
        <w:trPr>
          <w:trHeight w:val="288"/>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14:paraId="3D967465" w14:textId="77777777" w:rsidR="00612969" w:rsidRPr="007D2212" w:rsidRDefault="00E97743">
            <w:pPr>
              <w:pStyle w:val="IPPArialTable"/>
            </w:pPr>
            <w:r w:rsidRPr="007D2212">
              <w:rPr>
                <w:rStyle w:val="PleaseReviewParagraphId"/>
              </w:rPr>
              <w:t>[152]</w:t>
            </w:r>
            <w:r w:rsidRPr="007D2212">
              <w:t>Head</w:t>
            </w:r>
          </w:p>
        </w:tc>
        <w:tc>
          <w:tcPr>
            <w:tcW w:w="7581" w:type="dxa"/>
            <w:tcBorders>
              <w:top w:val="nil"/>
              <w:left w:val="nil"/>
              <w:bottom w:val="single" w:sz="4" w:space="0" w:color="auto"/>
              <w:right w:val="single" w:sz="4" w:space="0" w:color="auto"/>
            </w:tcBorders>
            <w:shd w:val="clear" w:color="auto" w:fill="auto"/>
            <w:vAlign w:val="center"/>
            <w:hideMark/>
          </w:tcPr>
          <w:p w14:paraId="4FFC1477" w14:textId="71473A49" w:rsidR="00612969" w:rsidRPr="007D2212" w:rsidRDefault="00E97743">
            <w:pPr>
              <w:pStyle w:val="IPPArialTable"/>
            </w:pPr>
            <w:r w:rsidRPr="007D2212">
              <w:rPr>
                <w:rStyle w:val="PleaseReviewParagraphId"/>
              </w:rPr>
              <w:t>[153]</w:t>
            </w:r>
            <w:r w:rsidR="00F06A64" w:rsidRPr="00A4522D">
              <w:t xml:space="preserve">Face yellow with </w:t>
            </w:r>
            <w:r w:rsidR="00F06A64" w:rsidRPr="00DB5A6E">
              <w:t>d</w:t>
            </w:r>
            <w:r w:rsidRPr="007D2212">
              <w:t>istinct facial spots present (Figures </w:t>
            </w:r>
            <w:r w:rsidRPr="007D2212">
              <w:rPr>
                <w:rFonts w:eastAsiaTheme="minorEastAsia"/>
                <w:lang w:eastAsia="ja-JP"/>
              </w:rPr>
              <w:t xml:space="preserve">8(a), </w:t>
            </w:r>
            <w:r w:rsidRPr="007D2212">
              <w:t>8(</w:t>
            </w:r>
            <w:r w:rsidRPr="007D2212">
              <w:rPr>
                <w:rFonts w:eastAsiaTheme="minorEastAsia"/>
                <w:lang w:eastAsia="ja-JP"/>
              </w:rPr>
              <w:t>b)</w:t>
            </w:r>
            <w:r w:rsidRPr="007D2212">
              <w:t xml:space="preserve">, </w:t>
            </w:r>
            <w:r w:rsidRPr="007D2212">
              <w:rPr>
                <w:rFonts w:eastAsiaTheme="minorEastAsia"/>
                <w:lang w:eastAsia="ja-JP"/>
              </w:rPr>
              <w:t>11</w:t>
            </w:r>
            <w:r w:rsidRPr="007D2212">
              <w:t>)</w:t>
            </w:r>
          </w:p>
        </w:tc>
      </w:tr>
      <w:tr w:rsidR="004F7E07" w:rsidRPr="007D2212" w14:paraId="481A2352" w14:textId="77777777" w:rsidTr="004F7E07">
        <w:tc>
          <w:tcPr>
            <w:tcW w:w="1373" w:type="dxa"/>
            <w:vMerge w:val="restart"/>
            <w:tcBorders>
              <w:top w:val="nil"/>
              <w:left w:val="single" w:sz="4" w:space="0" w:color="auto"/>
              <w:right w:val="single" w:sz="4" w:space="0" w:color="auto"/>
            </w:tcBorders>
            <w:shd w:val="clear" w:color="auto" w:fill="auto"/>
            <w:noWrap/>
            <w:vAlign w:val="center"/>
            <w:hideMark/>
          </w:tcPr>
          <w:p w14:paraId="72346BBA" w14:textId="77777777" w:rsidR="004F7E07" w:rsidRPr="007D2212" w:rsidRDefault="004F7E07">
            <w:pPr>
              <w:pStyle w:val="IPPArialTable"/>
            </w:pPr>
            <w:r w:rsidRPr="007D2212">
              <w:rPr>
                <w:rStyle w:val="PleaseReviewParagraphId"/>
              </w:rPr>
              <w:t>[154]</w:t>
            </w:r>
            <w:r w:rsidRPr="007D2212">
              <w:t>Scutum</w:t>
            </w:r>
          </w:p>
          <w:p w14:paraId="6015A106" w14:textId="77777777" w:rsidR="004F7E07" w:rsidRPr="007D2212" w:rsidRDefault="004F7E07">
            <w:pPr>
              <w:pStyle w:val="IPPArialTable"/>
            </w:pPr>
            <w:r w:rsidRPr="007D2212">
              <w:rPr>
                <w:rStyle w:val="PleaseReviewParagraphId"/>
              </w:rPr>
              <w:t>[156]</w:t>
            </w:r>
          </w:p>
          <w:p w14:paraId="59FDE742" w14:textId="38CF5718" w:rsidR="004F7E07" w:rsidRPr="007D2212" w:rsidRDefault="004F7E07" w:rsidP="004F7E07">
            <w:pPr>
              <w:pStyle w:val="IPPArialTable"/>
            </w:pPr>
            <w:r w:rsidRPr="007D2212">
              <w:rPr>
                <w:rStyle w:val="PleaseReviewParagraphId"/>
              </w:rPr>
              <w:t>[158]</w:t>
            </w:r>
          </w:p>
        </w:tc>
        <w:tc>
          <w:tcPr>
            <w:tcW w:w="7581" w:type="dxa"/>
            <w:tcBorders>
              <w:top w:val="nil"/>
              <w:left w:val="nil"/>
              <w:bottom w:val="single" w:sz="4" w:space="0" w:color="auto"/>
              <w:right w:val="single" w:sz="4" w:space="0" w:color="auto"/>
            </w:tcBorders>
            <w:shd w:val="clear" w:color="auto" w:fill="auto"/>
            <w:vAlign w:val="center"/>
            <w:hideMark/>
          </w:tcPr>
          <w:p w14:paraId="7C9DAD9C" w14:textId="77777777" w:rsidR="004F7E07" w:rsidRPr="007D2212" w:rsidRDefault="004F7E07">
            <w:pPr>
              <w:pStyle w:val="IPPArialTable"/>
            </w:pPr>
            <w:r w:rsidRPr="007D2212">
              <w:rPr>
                <w:rStyle w:val="PleaseReviewParagraphId"/>
              </w:rPr>
              <w:t>[155]</w:t>
            </w:r>
            <w:r w:rsidRPr="007D2212">
              <w:t>Colour mostly black to mostly red-brown (inter-regionally variable) (Figure 12)</w:t>
            </w:r>
          </w:p>
        </w:tc>
      </w:tr>
      <w:tr w:rsidR="004F7E07" w:rsidRPr="007D2212" w14:paraId="6B59E3B9" w14:textId="77777777" w:rsidTr="004F7E07">
        <w:trPr>
          <w:trHeight w:val="288"/>
        </w:trPr>
        <w:tc>
          <w:tcPr>
            <w:tcW w:w="1373" w:type="dxa"/>
            <w:vMerge/>
            <w:tcBorders>
              <w:left w:val="single" w:sz="4" w:space="0" w:color="auto"/>
              <w:right w:val="single" w:sz="4" w:space="0" w:color="auto"/>
            </w:tcBorders>
            <w:vAlign w:val="center"/>
            <w:hideMark/>
          </w:tcPr>
          <w:p w14:paraId="2DC9DF20" w14:textId="2805665B" w:rsidR="004F7E07" w:rsidRPr="007D2212" w:rsidRDefault="004F7E07" w:rsidP="004F7E07">
            <w:pPr>
              <w:pStyle w:val="IPPArialTable"/>
            </w:pPr>
          </w:p>
        </w:tc>
        <w:tc>
          <w:tcPr>
            <w:tcW w:w="7581" w:type="dxa"/>
            <w:tcBorders>
              <w:top w:val="nil"/>
              <w:left w:val="nil"/>
              <w:bottom w:val="single" w:sz="4" w:space="0" w:color="auto"/>
              <w:right w:val="single" w:sz="4" w:space="0" w:color="auto"/>
            </w:tcBorders>
            <w:shd w:val="clear" w:color="auto" w:fill="auto"/>
            <w:vAlign w:val="center"/>
            <w:hideMark/>
          </w:tcPr>
          <w:p w14:paraId="34819C67" w14:textId="1CCA028C" w:rsidR="004F7E07" w:rsidRPr="007D2212" w:rsidRDefault="004F7E07">
            <w:pPr>
              <w:pStyle w:val="IPPArialTable"/>
            </w:pPr>
            <w:r w:rsidRPr="007D2212">
              <w:rPr>
                <w:rStyle w:val="PleaseReviewParagraphId"/>
              </w:rPr>
              <w:t>[157]</w:t>
            </w:r>
            <w:r w:rsidRPr="007D2212">
              <w:t>Lateral vittae present</w:t>
            </w:r>
            <w:r>
              <w:t xml:space="preserve"> (Figure 10)</w:t>
            </w:r>
            <w:r w:rsidRPr="007D2212">
              <w:t xml:space="preserve"> and </w:t>
            </w:r>
            <w:r w:rsidRPr="00ED5659">
              <w:t>yellowish (</w:t>
            </w:r>
            <w:r w:rsidRPr="00EC752D">
              <w:t>Figures 12 and</w:t>
            </w:r>
            <w:r w:rsidRPr="00EC752D">
              <w:rPr>
                <w:rFonts w:eastAsiaTheme="minorEastAsia"/>
                <w:lang w:eastAsia="ja-JP"/>
              </w:rPr>
              <w:t xml:space="preserve"> </w:t>
            </w:r>
            <w:r w:rsidRPr="00EC752D">
              <w:t>1</w:t>
            </w:r>
            <w:r w:rsidRPr="00EC752D">
              <w:rPr>
                <w:rFonts w:eastAsiaTheme="minorEastAsia"/>
                <w:lang w:eastAsia="ja-JP"/>
              </w:rPr>
              <w:t>3</w:t>
            </w:r>
            <w:r w:rsidRPr="00ED5659">
              <w:t>)</w:t>
            </w:r>
          </w:p>
        </w:tc>
      </w:tr>
      <w:tr w:rsidR="004F7E07" w:rsidRPr="007D2212" w14:paraId="702F4684" w14:textId="77777777" w:rsidTr="004F7E07">
        <w:trPr>
          <w:trHeight w:val="288"/>
        </w:trPr>
        <w:tc>
          <w:tcPr>
            <w:tcW w:w="1373" w:type="dxa"/>
            <w:vMerge/>
            <w:tcBorders>
              <w:left w:val="single" w:sz="4" w:space="0" w:color="auto"/>
              <w:bottom w:val="single" w:sz="4" w:space="0" w:color="000000"/>
              <w:right w:val="single" w:sz="4" w:space="0" w:color="auto"/>
            </w:tcBorders>
            <w:vAlign w:val="center"/>
            <w:hideMark/>
          </w:tcPr>
          <w:p w14:paraId="728214E8" w14:textId="5A934EE1" w:rsidR="004F7E07" w:rsidRPr="007D2212" w:rsidRDefault="004F7E07">
            <w:pPr>
              <w:pStyle w:val="IPPArialTable"/>
            </w:pPr>
          </w:p>
        </w:tc>
        <w:tc>
          <w:tcPr>
            <w:tcW w:w="7581" w:type="dxa"/>
            <w:tcBorders>
              <w:top w:val="nil"/>
              <w:left w:val="nil"/>
              <w:bottom w:val="single" w:sz="4" w:space="0" w:color="auto"/>
              <w:right w:val="single" w:sz="4" w:space="0" w:color="auto"/>
            </w:tcBorders>
            <w:shd w:val="clear" w:color="auto" w:fill="auto"/>
            <w:vAlign w:val="center"/>
            <w:hideMark/>
          </w:tcPr>
          <w:p w14:paraId="03690D48" w14:textId="77777777" w:rsidR="004F7E07" w:rsidRPr="007D2212" w:rsidRDefault="004F7E07">
            <w:pPr>
              <w:pStyle w:val="IPPArialTable"/>
            </w:pPr>
            <w:r w:rsidRPr="007D2212">
              <w:rPr>
                <w:rStyle w:val="PleaseReviewParagraphId"/>
              </w:rPr>
              <w:t>[159]</w:t>
            </w:r>
            <w:r w:rsidRPr="007D2212">
              <w:t>Medial vittae absent (Figure 10)</w:t>
            </w:r>
          </w:p>
        </w:tc>
      </w:tr>
      <w:tr w:rsidR="004F7E07" w:rsidRPr="007D2212" w14:paraId="4486077E" w14:textId="77777777" w:rsidTr="004F7E07">
        <w:trPr>
          <w:trHeight w:val="288"/>
        </w:trPr>
        <w:tc>
          <w:tcPr>
            <w:tcW w:w="1373" w:type="dxa"/>
            <w:vMerge w:val="restart"/>
            <w:tcBorders>
              <w:top w:val="nil"/>
              <w:left w:val="single" w:sz="4" w:space="0" w:color="auto"/>
              <w:right w:val="single" w:sz="4" w:space="0" w:color="auto"/>
            </w:tcBorders>
            <w:shd w:val="clear" w:color="auto" w:fill="auto"/>
            <w:noWrap/>
            <w:vAlign w:val="center"/>
            <w:hideMark/>
          </w:tcPr>
          <w:p w14:paraId="22F0A8A2" w14:textId="77777777" w:rsidR="004F7E07" w:rsidRPr="007D2212" w:rsidRDefault="004F7E07">
            <w:pPr>
              <w:pStyle w:val="IPPArialTable"/>
            </w:pPr>
            <w:r w:rsidRPr="007D2212">
              <w:rPr>
                <w:rStyle w:val="PleaseReviewParagraphId"/>
              </w:rPr>
              <w:t>[160]</w:t>
            </w:r>
            <w:r w:rsidRPr="007D2212">
              <w:t>Scutellum</w:t>
            </w:r>
          </w:p>
          <w:p w14:paraId="058201E2" w14:textId="77777777" w:rsidR="004F7E07" w:rsidRPr="007D2212" w:rsidRDefault="004F7E07">
            <w:pPr>
              <w:pStyle w:val="IPPArialTable"/>
            </w:pPr>
            <w:r w:rsidRPr="007D2212">
              <w:rPr>
                <w:rStyle w:val="PleaseReviewParagraphId"/>
              </w:rPr>
              <w:t>[162]</w:t>
            </w:r>
          </w:p>
          <w:p w14:paraId="60B11B1B" w14:textId="678EE2F6" w:rsidR="004F7E07" w:rsidRPr="007D2212" w:rsidRDefault="004F7E07" w:rsidP="004F7E07">
            <w:pPr>
              <w:pStyle w:val="IPPArialTable"/>
            </w:pPr>
            <w:r w:rsidRPr="007D2212">
              <w:rPr>
                <w:rStyle w:val="PleaseReviewParagraphId"/>
              </w:rPr>
              <w:t>[164]</w:t>
            </w:r>
          </w:p>
        </w:tc>
        <w:tc>
          <w:tcPr>
            <w:tcW w:w="7581" w:type="dxa"/>
            <w:tcBorders>
              <w:top w:val="nil"/>
              <w:left w:val="nil"/>
              <w:bottom w:val="single" w:sz="4" w:space="0" w:color="auto"/>
              <w:right w:val="single" w:sz="4" w:space="0" w:color="auto"/>
            </w:tcBorders>
            <w:shd w:val="clear" w:color="auto" w:fill="auto"/>
            <w:vAlign w:val="center"/>
            <w:hideMark/>
          </w:tcPr>
          <w:p w14:paraId="0569BD0B" w14:textId="77777777" w:rsidR="004F7E07" w:rsidRPr="007D2212" w:rsidRDefault="004F7E07">
            <w:pPr>
              <w:pStyle w:val="IPPArialTable"/>
            </w:pPr>
            <w:r w:rsidRPr="007D2212">
              <w:rPr>
                <w:rStyle w:val="PleaseReviewParagraphId"/>
              </w:rPr>
              <w:t>[161]</w:t>
            </w:r>
            <w:r w:rsidRPr="007D2212">
              <w:t>Yellowish colour (Figures 1 and 1</w:t>
            </w:r>
            <w:r w:rsidRPr="007D2212">
              <w:rPr>
                <w:rFonts w:eastAsiaTheme="minorEastAsia"/>
                <w:lang w:eastAsia="ja-JP"/>
              </w:rPr>
              <w:t>2</w:t>
            </w:r>
            <w:r w:rsidRPr="007D2212">
              <w:t xml:space="preserve">) </w:t>
            </w:r>
          </w:p>
        </w:tc>
      </w:tr>
      <w:tr w:rsidR="004F7E07" w:rsidRPr="007D2212" w14:paraId="716DCD8C" w14:textId="77777777" w:rsidTr="004F7E07">
        <w:trPr>
          <w:trHeight w:val="288"/>
        </w:trPr>
        <w:tc>
          <w:tcPr>
            <w:tcW w:w="1373" w:type="dxa"/>
            <w:vMerge/>
            <w:tcBorders>
              <w:left w:val="single" w:sz="4" w:space="0" w:color="auto"/>
              <w:right w:val="single" w:sz="4" w:space="0" w:color="auto"/>
            </w:tcBorders>
            <w:vAlign w:val="center"/>
            <w:hideMark/>
          </w:tcPr>
          <w:p w14:paraId="64DA44F6" w14:textId="76C94889" w:rsidR="004F7E07" w:rsidRPr="007D2212" w:rsidRDefault="004F7E07" w:rsidP="004F7E07">
            <w:pPr>
              <w:pStyle w:val="IPPArialTable"/>
            </w:pPr>
          </w:p>
        </w:tc>
        <w:tc>
          <w:tcPr>
            <w:tcW w:w="7581" w:type="dxa"/>
            <w:tcBorders>
              <w:top w:val="nil"/>
              <w:left w:val="nil"/>
              <w:bottom w:val="single" w:sz="4" w:space="0" w:color="auto"/>
              <w:right w:val="single" w:sz="4" w:space="0" w:color="auto"/>
            </w:tcBorders>
            <w:shd w:val="clear" w:color="auto" w:fill="auto"/>
            <w:vAlign w:val="center"/>
            <w:hideMark/>
          </w:tcPr>
          <w:p w14:paraId="2494898E" w14:textId="77777777" w:rsidR="004F7E07" w:rsidRPr="007D2212" w:rsidRDefault="004F7E07">
            <w:pPr>
              <w:pStyle w:val="IPPArialTable"/>
            </w:pPr>
            <w:r w:rsidRPr="007D2212">
              <w:rPr>
                <w:rStyle w:val="PleaseReviewParagraphId"/>
              </w:rPr>
              <w:t>[163]</w:t>
            </w:r>
            <w:r w:rsidRPr="007D2212">
              <w:t>With a dark basal band (Figures 10 and</w:t>
            </w:r>
            <w:r w:rsidRPr="007D2212">
              <w:rPr>
                <w:rFonts w:eastAsiaTheme="minorEastAsia"/>
                <w:lang w:eastAsia="ja-JP"/>
              </w:rPr>
              <w:t xml:space="preserve"> </w:t>
            </w:r>
            <w:r w:rsidRPr="007D2212">
              <w:t>1</w:t>
            </w:r>
            <w:r w:rsidRPr="007D2212">
              <w:rPr>
                <w:rFonts w:eastAsiaTheme="minorEastAsia"/>
                <w:lang w:eastAsia="ja-JP"/>
              </w:rPr>
              <w:t>2</w:t>
            </w:r>
            <w:r w:rsidRPr="007D2212">
              <w:t>)</w:t>
            </w:r>
          </w:p>
        </w:tc>
      </w:tr>
      <w:tr w:rsidR="004F7E07" w:rsidRPr="007D2212" w14:paraId="2A3CA027" w14:textId="77777777" w:rsidTr="004F7E07">
        <w:trPr>
          <w:trHeight w:val="288"/>
        </w:trPr>
        <w:tc>
          <w:tcPr>
            <w:tcW w:w="1373" w:type="dxa"/>
            <w:vMerge/>
            <w:tcBorders>
              <w:left w:val="single" w:sz="4" w:space="0" w:color="auto"/>
              <w:bottom w:val="single" w:sz="4" w:space="0" w:color="000000"/>
              <w:right w:val="single" w:sz="4" w:space="0" w:color="auto"/>
            </w:tcBorders>
            <w:vAlign w:val="center"/>
            <w:hideMark/>
          </w:tcPr>
          <w:p w14:paraId="1C736035" w14:textId="3A9D829F" w:rsidR="004F7E07" w:rsidRPr="007D2212" w:rsidRDefault="004F7E07">
            <w:pPr>
              <w:pStyle w:val="IPPArialTable"/>
            </w:pPr>
          </w:p>
        </w:tc>
        <w:tc>
          <w:tcPr>
            <w:tcW w:w="7581" w:type="dxa"/>
            <w:tcBorders>
              <w:top w:val="nil"/>
              <w:left w:val="nil"/>
              <w:bottom w:val="single" w:sz="4" w:space="0" w:color="auto"/>
              <w:right w:val="single" w:sz="4" w:space="0" w:color="auto"/>
            </w:tcBorders>
            <w:shd w:val="clear" w:color="auto" w:fill="auto"/>
            <w:vAlign w:val="center"/>
            <w:hideMark/>
          </w:tcPr>
          <w:p w14:paraId="113E9DE9" w14:textId="4998CEA7" w:rsidR="004F7E07" w:rsidRPr="007D2212" w:rsidRDefault="004F7E07">
            <w:pPr>
              <w:pStyle w:val="IPPArialTable"/>
            </w:pPr>
            <w:r w:rsidRPr="007D2212">
              <w:rPr>
                <w:rStyle w:val="PleaseReviewParagraphId"/>
              </w:rPr>
              <w:t>[165]</w:t>
            </w:r>
            <w:r w:rsidRPr="007D2212">
              <w:t>Never with other dark patterns (Figure 12)</w:t>
            </w:r>
          </w:p>
        </w:tc>
      </w:tr>
      <w:tr w:rsidR="00612969" w:rsidRPr="007D2212" w14:paraId="0BC0945A" w14:textId="77777777" w:rsidTr="004F7E07">
        <w:trPr>
          <w:trHeight w:val="576"/>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14:paraId="72D8CDF5" w14:textId="77777777" w:rsidR="00612969" w:rsidRPr="007D2212" w:rsidRDefault="00E97743">
            <w:pPr>
              <w:pStyle w:val="IPPArialTable"/>
            </w:pPr>
            <w:r w:rsidRPr="007D2212">
              <w:rPr>
                <w:rStyle w:val="PleaseReviewParagraphId"/>
              </w:rPr>
              <w:t>[166]</w:t>
            </w:r>
            <w:r w:rsidRPr="007D2212">
              <w:t>Femora</w:t>
            </w:r>
          </w:p>
        </w:tc>
        <w:tc>
          <w:tcPr>
            <w:tcW w:w="7581" w:type="dxa"/>
            <w:tcBorders>
              <w:top w:val="nil"/>
              <w:left w:val="nil"/>
              <w:bottom w:val="single" w:sz="4" w:space="0" w:color="auto"/>
              <w:right w:val="single" w:sz="4" w:space="0" w:color="auto"/>
            </w:tcBorders>
            <w:shd w:val="clear" w:color="auto" w:fill="auto"/>
            <w:vAlign w:val="center"/>
            <w:hideMark/>
          </w:tcPr>
          <w:p w14:paraId="02622F63" w14:textId="77777777" w:rsidR="00612969" w:rsidRPr="007D2212" w:rsidRDefault="00E97743">
            <w:pPr>
              <w:pStyle w:val="IPPArialTable"/>
              <w:rPr>
                <w:rFonts w:eastAsiaTheme="minorEastAsia"/>
                <w:lang w:eastAsia="ja-JP"/>
              </w:rPr>
            </w:pPr>
            <w:r w:rsidRPr="007D2212">
              <w:rPr>
                <w:rStyle w:val="PleaseReviewParagraphId"/>
              </w:rPr>
              <w:t>[167]</w:t>
            </w:r>
            <w:r w:rsidRPr="007D2212">
              <w:t>Entirely or mostly fulvous (reddish-yellow or tawny) colour but may possess dark patterns particularly on and around apices</w:t>
            </w:r>
            <w:r w:rsidRPr="007D2212">
              <w:rPr>
                <w:rFonts w:eastAsiaTheme="minorEastAsia"/>
                <w:lang w:eastAsia="ja-JP"/>
              </w:rPr>
              <w:t xml:space="preserve"> (Figure 14)</w:t>
            </w:r>
          </w:p>
        </w:tc>
      </w:tr>
      <w:tr w:rsidR="004F7E07" w:rsidRPr="007D2212" w14:paraId="678BD857" w14:textId="77777777" w:rsidTr="004F7E07">
        <w:tc>
          <w:tcPr>
            <w:tcW w:w="1373" w:type="dxa"/>
            <w:vMerge w:val="restart"/>
            <w:tcBorders>
              <w:top w:val="nil"/>
              <w:left w:val="single" w:sz="4" w:space="0" w:color="auto"/>
              <w:right w:val="single" w:sz="4" w:space="0" w:color="auto"/>
            </w:tcBorders>
            <w:shd w:val="clear" w:color="auto" w:fill="auto"/>
            <w:noWrap/>
            <w:vAlign w:val="center"/>
            <w:hideMark/>
          </w:tcPr>
          <w:p w14:paraId="3D6DE9B4" w14:textId="77777777" w:rsidR="004F7E07" w:rsidRPr="007D2212" w:rsidRDefault="004F7E07">
            <w:pPr>
              <w:pStyle w:val="IPPArialTable"/>
            </w:pPr>
            <w:r w:rsidRPr="007D2212">
              <w:rPr>
                <w:rStyle w:val="PleaseReviewParagraphId"/>
              </w:rPr>
              <w:t>[168]</w:t>
            </w:r>
            <w:r w:rsidRPr="007D2212">
              <w:t>Wing</w:t>
            </w:r>
          </w:p>
          <w:p w14:paraId="3CAB85F1" w14:textId="77777777" w:rsidR="004F7E07" w:rsidRPr="007D2212" w:rsidRDefault="004F7E07">
            <w:pPr>
              <w:pStyle w:val="IPPArialTable"/>
            </w:pPr>
            <w:r w:rsidRPr="007D2212">
              <w:rPr>
                <w:rStyle w:val="PleaseReviewParagraphId"/>
              </w:rPr>
              <w:t>[170]</w:t>
            </w:r>
          </w:p>
          <w:p w14:paraId="1B3E4971" w14:textId="77777777" w:rsidR="004F7E07" w:rsidRPr="007D2212" w:rsidRDefault="004F7E07">
            <w:pPr>
              <w:pStyle w:val="IPPArialTable"/>
            </w:pPr>
            <w:r w:rsidRPr="007D2212">
              <w:rPr>
                <w:rStyle w:val="PleaseReviewParagraphId"/>
              </w:rPr>
              <w:t>[172]</w:t>
            </w:r>
          </w:p>
          <w:p w14:paraId="7607FAB0" w14:textId="3F943431" w:rsidR="004F7E07" w:rsidRPr="007D2212" w:rsidRDefault="004F7E07" w:rsidP="004F7E07">
            <w:pPr>
              <w:pStyle w:val="IPPArialTable"/>
            </w:pPr>
            <w:r w:rsidRPr="007D2212">
              <w:rPr>
                <w:rStyle w:val="PleaseReviewParagraphId"/>
              </w:rPr>
              <w:t>[174]</w:t>
            </w:r>
          </w:p>
        </w:tc>
        <w:tc>
          <w:tcPr>
            <w:tcW w:w="7581" w:type="dxa"/>
            <w:tcBorders>
              <w:top w:val="nil"/>
              <w:left w:val="nil"/>
              <w:bottom w:val="single" w:sz="4" w:space="0" w:color="auto"/>
              <w:right w:val="single" w:sz="4" w:space="0" w:color="auto"/>
            </w:tcBorders>
            <w:shd w:val="clear" w:color="auto" w:fill="auto"/>
            <w:vAlign w:val="center"/>
            <w:hideMark/>
          </w:tcPr>
          <w:p w14:paraId="2B293966" w14:textId="77777777" w:rsidR="004F7E07" w:rsidRPr="007D2212" w:rsidRDefault="004F7E07">
            <w:pPr>
              <w:pStyle w:val="IPPArialTable"/>
            </w:pPr>
            <w:r w:rsidRPr="007D2212">
              <w:rPr>
                <w:rStyle w:val="PleaseReviewParagraphId"/>
              </w:rPr>
              <w:t>[169]</w:t>
            </w:r>
            <w:r w:rsidRPr="007D2212">
              <w:t>Cells bc and c hyaline (colourless) or, at most, with an extremely pale tint (Figures 9 and</w:t>
            </w:r>
            <w:r w:rsidRPr="007D2212">
              <w:rPr>
                <w:rFonts w:eastAsiaTheme="minorEastAsia"/>
                <w:lang w:eastAsia="ja-JP"/>
              </w:rPr>
              <w:t xml:space="preserve"> 15</w:t>
            </w:r>
            <w:r w:rsidRPr="007D2212">
              <w:t>)</w:t>
            </w:r>
          </w:p>
        </w:tc>
      </w:tr>
      <w:tr w:rsidR="004F7E07" w:rsidRPr="007D2212" w14:paraId="5E1C3C5D" w14:textId="77777777" w:rsidTr="004F7E07">
        <w:trPr>
          <w:trHeight w:val="288"/>
        </w:trPr>
        <w:tc>
          <w:tcPr>
            <w:tcW w:w="1373" w:type="dxa"/>
            <w:vMerge/>
            <w:tcBorders>
              <w:left w:val="single" w:sz="4" w:space="0" w:color="auto"/>
              <w:right w:val="single" w:sz="4" w:space="0" w:color="auto"/>
            </w:tcBorders>
            <w:vAlign w:val="center"/>
            <w:hideMark/>
          </w:tcPr>
          <w:p w14:paraId="7AF77D16" w14:textId="65A9C816" w:rsidR="004F7E07" w:rsidRPr="007D2212" w:rsidRDefault="004F7E07" w:rsidP="004F7E07">
            <w:pPr>
              <w:pStyle w:val="IPPArialTable"/>
            </w:pPr>
          </w:p>
        </w:tc>
        <w:tc>
          <w:tcPr>
            <w:tcW w:w="7581" w:type="dxa"/>
            <w:tcBorders>
              <w:top w:val="nil"/>
              <w:left w:val="nil"/>
              <w:bottom w:val="single" w:sz="4" w:space="0" w:color="auto"/>
              <w:right w:val="single" w:sz="4" w:space="0" w:color="auto"/>
            </w:tcBorders>
            <w:shd w:val="clear" w:color="auto" w:fill="auto"/>
            <w:vAlign w:val="center"/>
            <w:hideMark/>
          </w:tcPr>
          <w:p w14:paraId="03869C06" w14:textId="77777777" w:rsidR="004F7E07" w:rsidRPr="007D2212" w:rsidRDefault="004F7E07">
            <w:pPr>
              <w:pStyle w:val="IPPArialTable"/>
            </w:pPr>
            <w:r w:rsidRPr="007D2212">
              <w:rPr>
                <w:rStyle w:val="PleaseReviewParagraphId"/>
              </w:rPr>
              <w:t>[171]</w:t>
            </w:r>
            <w:r w:rsidRPr="007D2212">
              <w:t>Without dense microtrichia covering cells bc and c (Figure 9)</w:t>
            </w:r>
          </w:p>
        </w:tc>
      </w:tr>
      <w:tr w:rsidR="004F7E07" w:rsidRPr="007D2212" w14:paraId="73A6FECF" w14:textId="77777777" w:rsidTr="004F7E07">
        <w:trPr>
          <w:trHeight w:val="312"/>
        </w:trPr>
        <w:tc>
          <w:tcPr>
            <w:tcW w:w="1373" w:type="dxa"/>
            <w:vMerge/>
            <w:tcBorders>
              <w:left w:val="single" w:sz="4" w:space="0" w:color="auto"/>
              <w:right w:val="single" w:sz="4" w:space="0" w:color="auto"/>
            </w:tcBorders>
            <w:vAlign w:val="center"/>
            <w:hideMark/>
          </w:tcPr>
          <w:p w14:paraId="7C449FBC" w14:textId="164467A3" w:rsidR="004F7E07" w:rsidRPr="007D2212" w:rsidRDefault="004F7E07" w:rsidP="004F7E07">
            <w:pPr>
              <w:pStyle w:val="IPPArialTable"/>
            </w:pPr>
          </w:p>
        </w:tc>
        <w:tc>
          <w:tcPr>
            <w:tcW w:w="7581" w:type="dxa"/>
            <w:tcBorders>
              <w:top w:val="nil"/>
              <w:left w:val="nil"/>
              <w:bottom w:val="single" w:sz="4" w:space="0" w:color="auto"/>
              <w:right w:val="single" w:sz="4" w:space="0" w:color="auto"/>
            </w:tcBorders>
            <w:shd w:val="clear" w:color="auto" w:fill="auto"/>
            <w:vAlign w:val="center"/>
            <w:hideMark/>
          </w:tcPr>
          <w:p w14:paraId="6FB0FB56" w14:textId="77777777" w:rsidR="004F7E07" w:rsidRPr="007D2212" w:rsidRDefault="004F7E07">
            <w:pPr>
              <w:pStyle w:val="IPPArialTable"/>
            </w:pPr>
            <w:r w:rsidRPr="007D2212">
              <w:rPr>
                <w:rStyle w:val="PleaseReviewParagraphId"/>
              </w:rPr>
              <w:t>[173]</w:t>
            </w:r>
            <w:r w:rsidRPr="007D2212">
              <w:t>Costal band narrow (never confluent with R</w:t>
            </w:r>
            <w:r w:rsidRPr="007D2212">
              <w:rPr>
                <w:vertAlign w:val="subscript"/>
              </w:rPr>
              <w:t>4+5</w:t>
            </w:r>
            <w:r w:rsidRPr="007D2212">
              <w:t>) (Figure 9)</w:t>
            </w:r>
          </w:p>
        </w:tc>
      </w:tr>
      <w:tr w:rsidR="004F7E07" w:rsidRPr="007D2212" w14:paraId="38FEDC77" w14:textId="77777777" w:rsidTr="004F7E07">
        <w:tc>
          <w:tcPr>
            <w:tcW w:w="1373" w:type="dxa"/>
            <w:vMerge/>
            <w:tcBorders>
              <w:left w:val="single" w:sz="4" w:space="0" w:color="auto"/>
              <w:bottom w:val="single" w:sz="4" w:space="0" w:color="000000"/>
              <w:right w:val="single" w:sz="4" w:space="0" w:color="auto"/>
            </w:tcBorders>
            <w:vAlign w:val="center"/>
            <w:hideMark/>
          </w:tcPr>
          <w:p w14:paraId="688A530B" w14:textId="626AF363" w:rsidR="004F7E07" w:rsidRPr="007D2212" w:rsidRDefault="004F7E07">
            <w:pPr>
              <w:pStyle w:val="IPPArialTable"/>
            </w:pPr>
          </w:p>
        </w:tc>
        <w:tc>
          <w:tcPr>
            <w:tcW w:w="7581" w:type="dxa"/>
            <w:tcBorders>
              <w:top w:val="nil"/>
              <w:left w:val="nil"/>
              <w:bottom w:val="single" w:sz="4" w:space="0" w:color="auto"/>
              <w:right w:val="single" w:sz="4" w:space="0" w:color="auto"/>
            </w:tcBorders>
            <w:shd w:val="clear" w:color="auto" w:fill="auto"/>
            <w:vAlign w:val="center"/>
            <w:hideMark/>
          </w:tcPr>
          <w:p w14:paraId="1DA0B2FA" w14:textId="77777777" w:rsidR="004F7E07" w:rsidRPr="007D2212" w:rsidRDefault="004F7E07">
            <w:pPr>
              <w:pStyle w:val="IPPArialTable"/>
            </w:pPr>
            <w:r w:rsidRPr="007D2212">
              <w:rPr>
                <w:rStyle w:val="PleaseReviewParagraphId"/>
              </w:rPr>
              <w:t>[175]</w:t>
            </w:r>
            <w:r w:rsidRPr="007D2212">
              <w:t>Narrow anal streak present (diagonal marking that is above anal lobe) (Figures 9 and 15)</w:t>
            </w:r>
          </w:p>
        </w:tc>
      </w:tr>
      <w:tr w:rsidR="00612969" w:rsidRPr="007D2212" w14:paraId="7B24E72F" w14:textId="77777777" w:rsidTr="004F7E07">
        <w:trPr>
          <w:trHeight w:val="288"/>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14:paraId="245C8B30" w14:textId="77777777" w:rsidR="00612969" w:rsidRPr="007D2212" w:rsidRDefault="00E97743">
            <w:pPr>
              <w:pStyle w:val="IPPArialTable"/>
            </w:pPr>
            <w:r w:rsidRPr="007D2212">
              <w:rPr>
                <w:rStyle w:val="PleaseReviewParagraphId"/>
              </w:rPr>
              <w:t>[176]</w:t>
            </w:r>
            <w:r w:rsidRPr="007D2212">
              <w:t>Abdomen</w:t>
            </w:r>
          </w:p>
        </w:tc>
        <w:tc>
          <w:tcPr>
            <w:tcW w:w="7581" w:type="dxa"/>
            <w:tcBorders>
              <w:top w:val="nil"/>
              <w:left w:val="nil"/>
              <w:bottom w:val="single" w:sz="4" w:space="0" w:color="auto"/>
              <w:right w:val="single" w:sz="4" w:space="0" w:color="auto"/>
            </w:tcBorders>
            <w:shd w:val="clear" w:color="auto" w:fill="auto"/>
            <w:vAlign w:val="center"/>
            <w:hideMark/>
          </w:tcPr>
          <w:p w14:paraId="0D546EA2" w14:textId="77777777" w:rsidR="00612969" w:rsidRPr="007D2212" w:rsidRDefault="00E97743">
            <w:pPr>
              <w:pStyle w:val="IPPArialTable"/>
            </w:pPr>
            <w:r w:rsidRPr="007D2212">
              <w:rPr>
                <w:rStyle w:val="PleaseReviewParagraphId"/>
              </w:rPr>
              <w:t>[177]</w:t>
            </w:r>
            <w:r w:rsidRPr="007D2212">
              <w:t>With a “T” pattern on tergites 3–</w:t>
            </w:r>
            <w:r w:rsidRPr="007D2212">
              <w:rPr>
                <w:rFonts w:eastAsiaTheme="minorEastAsia"/>
                <w:lang w:eastAsia="ja-JP"/>
              </w:rPr>
              <w:t>5</w:t>
            </w:r>
            <w:r w:rsidRPr="007D2212">
              <w:t xml:space="preserve"> (Figures 6</w:t>
            </w:r>
            <w:r w:rsidR="00F06A64" w:rsidRPr="007D2212">
              <w:t>(a)</w:t>
            </w:r>
            <w:r w:rsidRPr="007D2212">
              <w:t xml:space="preserve"> and 1</w:t>
            </w:r>
            <w:r w:rsidRPr="007D2212">
              <w:rPr>
                <w:rFonts w:eastAsiaTheme="minorEastAsia"/>
                <w:lang w:eastAsia="ja-JP"/>
              </w:rPr>
              <w:t>6</w:t>
            </w:r>
            <w:r w:rsidRPr="007D2212">
              <w:t>)</w:t>
            </w:r>
          </w:p>
        </w:tc>
      </w:tr>
    </w:tbl>
    <w:p w14:paraId="51C5E7F7" w14:textId="77777777" w:rsidR="00612969" w:rsidRPr="007D2212" w:rsidRDefault="00E97743" w:rsidP="00A4522D">
      <w:pPr>
        <w:pStyle w:val="IPPHeading2"/>
      </w:pPr>
      <w:r w:rsidRPr="007D2212">
        <w:rPr>
          <w:rStyle w:val="PleaseReviewParagraphId"/>
          <w:b w:val="0"/>
        </w:rPr>
        <w:t>[178]</w:t>
      </w:r>
      <w:r w:rsidRPr="007D2212">
        <w:t>4.2.3</w:t>
      </w:r>
      <w:r w:rsidRPr="007D2212">
        <w:tab/>
        <w:t xml:space="preserve">Morphological identification of six economically important species of </w:t>
      </w:r>
      <w:r w:rsidRPr="00A4522D">
        <w:rPr>
          <w:i/>
        </w:rPr>
        <w:t>Bactrocera dorsalis</w:t>
      </w:r>
      <w:r w:rsidRPr="007D2212">
        <w:rPr>
          <w:rFonts w:eastAsiaTheme="minorEastAsia"/>
          <w:lang w:eastAsia="ja-JP"/>
        </w:rPr>
        <w:t xml:space="preserve"> </w:t>
      </w:r>
      <w:r w:rsidRPr="007D2212">
        <w:t>complex</w:t>
      </w:r>
    </w:p>
    <w:p w14:paraId="3060CC2B" w14:textId="77777777" w:rsidR="00612969" w:rsidRPr="007D2212" w:rsidRDefault="00E97743">
      <w:pPr>
        <w:pStyle w:val="IPPNormal"/>
      </w:pPr>
      <w:r w:rsidRPr="007D2212">
        <w:rPr>
          <w:rStyle w:val="PleaseReviewParagraphId"/>
        </w:rPr>
        <w:t>[179]</w:t>
      </w:r>
      <w:r w:rsidRPr="007D2212">
        <w:t xml:space="preserve">Morphological identification of species in the </w:t>
      </w:r>
      <w:r w:rsidRPr="007D2212">
        <w:rPr>
          <w:i/>
        </w:rPr>
        <w:t>Bactrocera dorsalis</w:t>
      </w:r>
      <w:r w:rsidRPr="007D2212">
        <w:rPr>
          <w:rFonts w:eastAsiaTheme="minorEastAsia"/>
          <w:i/>
          <w:lang w:eastAsia="ja-JP"/>
        </w:rPr>
        <w:t xml:space="preserve"> </w:t>
      </w:r>
      <w:r w:rsidRPr="007D2212">
        <w:t>complex is difficult in part because of a high level of character variability within species and overlap in characters between species. Ranges of variations in each diagnostic character shown in Table 3 are compiled from various sources including Drew and</w:t>
      </w:r>
      <w:r w:rsidRPr="007D2212">
        <w:rPr>
          <w:rFonts w:eastAsiaTheme="minorEastAsia"/>
          <w:lang w:eastAsia="ja-JP"/>
        </w:rPr>
        <w:t xml:space="preserve"> </w:t>
      </w:r>
      <w:r w:rsidRPr="007D2212">
        <w:t>Hancock (1994), Drew and</w:t>
      </w:r>
      <w:r w:rsidRPr="007D2212">
        <w:rPr>
          <w:rFonts w:eastAsiaTheme="minorEastAsia"/>
          <w:lang w:eastAsia="ja-JP"/>
        </w:rPr>
        <w:t xml:space="preserve"> </w:t>
      </w:r>
      <w:r w:rsidRPr="007D2212">
        <w:t>Romig (2013</w:t>
      </w:r>
      <w:r w:rsidRPr="007D2212">
        <w:rPr>
          <w:rFonts w:eastAsiaTheme="minorEastAsia"/>
          <w:lang w:eastAsia="ja-JP"/>
        </w:rPr>
        <w:t>, 2016</w:t>
      </w:r>
      <w:r w:rsidRPr="007D2212">
        <w:t xml:space="preserve">), and Schutze </w:t>
      </w:r>
      <w:r w:rsidRPr="007D2212">
        <w:rPr>
          <w:i/>
        </w:rPr>
        <w:t>et</w:t>
      </w:r>
      <w:r w:rsidRPr="007D2212">
        <w:rPr>
          <w:rFonts w:ascii="Arial" w:hAnsi="Arial" w:cs="Arial"/>
          <w:i/>
          <w:color w:val="000000"/>
          <w:sz w:val="18"/>
          <w:szCs w:val="18"/>
        </w:rPr>
        <w:t> </w:t>
      </w:r>
      <w:r w:rsidRPr="007D2212">
        <w:rPr>
          <w:i/>
        </w:rPr>
        <w:t>al</w:t>
      </w:r>
      <w:r w:rsidRPr="007D2212">
        <w:t>. (201</w:t>
      </w:r>
      <w:r w:rsidRPr="007D2212">
        <w:rPr>
          <w:rFonts w:eastAsiaTheme="minorEastAsia"/>
          <w:lang w:eastAsia="ja-JP"/>
        </w:rPr>
        <w:t>5</w:t>
      </w:r>
      <w:r w:rsidRPr="007D2212">
        <w:t>a, b). In Table 3, some character descriptions are recorded with indications of being “inter-regionally” or “intra-regionally” variable because some of the regional populations seem to have clearly unique variations in qualitative or quantitative characters.</w:t>
      </w:r>
    </w:p>
    <w:p w14:paraId="0C855482" w14:textId="77777777" w:rsidR="00612969" w:rsidRPr="007D2212" w:rsidRDefault="00E97743">
      <w:pPr>
        <w:pStyle w:val="IPPNormal"/>
      </w:pPr>
      <w:r w:rsidRPr="007D2212">
        <w:rPr>
          <w:rStyle w:val="PleaseReviewParagraphId"/>
        </w:rPr>
        <w:t>[180]</w:t>
      </w:r>
      <w:r w:rsidRPr="007D2212">
        <w:t xml:space="preserve">Identification at species level is generally difficult when specimens lack a combination of characteristics typical for one of the species. This is particularly evident </w:t>
      </w:r>
      <w:r w:rsidRPr="007D2212">
        <w:rPr>
          <w:rFonts w:eastAsiaTheme="minorEastAsia"/>
          <w:lang w:eastAsia="ja-JP"/>
        </w:rPr>
        <w:t xml:space="preserve">in </w:t>
      </w:r>
      <w:r w:rsidRPr="007D2212">
        <w:t>diagnosis of</w:t>
      </w:r>
      <w:r w:rsidRPr="007D2212">
        <w:rPr>
          <w:rFonts w:eastAsiaTheme="minorEastAsia"/>
          <w:lang w:eastAsia="ja-JP"/>
        </w:rPr>
        <w:t xml:space="preserve"> </w:t>
      </w:r>
      <w:r w:rsidRPr="007D2212">
        <w:rPr>
          <w:i/>
        </w:rPr>
        <w:t>B.</w:t>
      </w:r>
      <w:r w:rsidRPr="007D2212">
        <w:rPr>
          <w:i/>
          <w:szCs w:val="22"/>
        </w:rPr>
        <w:t> </w:t>
      </w:r>
      <w:r w:rsidRPr="007D2212">
        <w:rPr>
          <w:i/>
        </w:rPr>
        <w:t>dorsalis</w:t>
      </w:r>
      <w:r w:rsidRPr="007D2212">
        <w:t xml:space="preserve"> </w:t>
      </w:r>
      <w:r w:rsidRPr="007D2212">
        <w:rPr>
          <w:rFonts w:eastAsiaTheme="minorEastAsia"/>
          <w:i/>
          <w:lang w:eastAsia="ja-JP"/>
        </w:rPr>
        <w:t>s.l.</w:t>
      </w:r>
      <w:r w:rsidRPr="007D2212">
        <w:rPr>
          <w:rFonts w:eastAsiaTheme="minorEastAsia"/>
          <w:lang w:eastAsia="ja-JP"/>
        </w:rPr>
        <w:t xml:space="preserve"> </w:t>
      </w:r>
      <w:r w:rsidRPr="007D2212">
        <w:t xml:space="preserve">and </w:t>
      </w:r>
      <w:r w:rsidRPr="007D2212">
        <w:rPr>
          <w:i/>
        </w:rPr>
        <w:t>B.</w:t>
      </w:r>
      <w:r w:rsidRPr="007D2212">
        <w:rPr>
          <w:i/>
          <w:szCs w:val="22"/>
        </w:rPr>
        <w:t> </w:t>
      </w:r>
      <w:r w:rsidRPr="007D2212">
        <w:rPr>
          <w:i/>
        </w:rPr>
        <w:t>carambolae</w:t>
      </w:r>
      <w:r w:rsidRPr="007D2212">
        <w:rPr>
          <w:rFonts w:eastAsiaTheme="minorEastAsia"/>
          <w:lang w:eastAsia="ja-JP"/>
        </w:rPr>
        <w:t xml:space="preserve"> when genitalia lengths can match either species. As mentioned, hybrids are possible between these species but cannot be diagnosed with confidence using morphology.</w:t>
      </w:r>
    </w:p>
    <w:p w14:paraId="7207AC41" w14:textId="60639FB8" w:rsidR="00612969" w:rsidRPr="007D2212" w:rsidRDefault="00E97743">
      <w:pPr>
        <w:pStyle w:val="IPPNormal"/>
        <w:rPr>
          <w:rFonts w:eastAsiaTheme="minorEastAsia"/>
          <w:b/>
          <w:color w:val="000000"/>
          <w:lang w:eastAsia="ja-JP"/>
        </w:rPr>
      </w:pPr>
      <w:r w:rsidRPr="007D2212">
        <w:rPr>
          <w:rStyle w:val="PleaseReviewParagraphId"/>
        </w:rPr>
        <w:t>[181]</w:t>
      </w:r>
      <w:r w:rsidRPr="007D2212">
        <w:t xml:space="preserve">An identification to one of the six species in the protocol requires the adult specimen to be examined for the characters provided in Table 3. This can be accomplished using the key in section 4.2.4 to screen </w:t>
      </w:r>
      <w:r w:rsidRPr="007D2212">
        <w:lastRenderedPageBreak/>
        <w:t>specimens and then identification can be confirmed by comparing fly morphology to information in Table 3. If one or more characters are inconsistent between the specimen and the descriptions provided in Table</w:t>
      </w:r>
      <w:r w:rsidR="009B246F">
        <w:t> </w:t>
      </w:r>
      <w:r w:rsidRPr="007D2212">
        <w:t xml:space="preserve">3, then the specimen </w:t>
      </w:r>
      <w:r w:rsidRPr="007D2212">
        <w:rPr>
          <w:rFonts w:eastAsiaTheme="minorEastAsia"/>
          <w:lang w:eastAsia="ja-JP"/>
        </w:rPr>
        <w:t xml:space="preserve">cannot be </w:t>
      </w:r>
      <w:r w:rsidRPr="007D2212">
        <w:t xml:space="preserve">diagnosed as one of these species. </w:t>
      </w:r>
      <w:r w:rsidRPr="007D2212">
        <w:rPr>
          <w:rFonts w:eastAsiaTheme="minorEastAsia"/>
          <w:lang w:eastAsia="ja-JP"/>
        </w:rPr>
        <w:t xml:space="preserve">Morphometric examination of genitalia does not always provide a clear diagnosis because of overlap in the range of aedeagus and aculeus sizes between </w:t>
      </w:r>
      <w:r w:rsidRPr="007D2212">
        <w:rPr>
          <w:rFonts w:eastAsiaTheme="minorEastAsia"/>
          <w:i/>
          <w:lang w:eastAsia="ja-JP"/>
        </w:rPr>
        <w:t>B.</w:t>
      </w:r>
      <w:r w:rsidRPr="007D2212">
        <w:rPr>
          <w:i/>
          <w:szCs w:val="22"/>
        </w:rPr>
        <w:t> </w:t>
      </w:r>
      <w:r w:rsidRPr="007D2212">
        <w:rPr>
          <w:rFonts w:eastAsiaTheme="minorEastAsia"/>
          <w:i/>
          <w:lang w:eastAsia="ja-JP"/>
        </w:rPr>
        <w:t>dorsalis</w:t>
      </w:r>
      <w:r w:rsidRPr="007D2212">
        <w:rPr>
          <w:rFonts w:eastAsiaTheme="minorEastAsia"/>
          <w:lang w:eastAsia="ja-JP"/>
        </w:rPr>
        <w:t xml:space="preserve"> </w:t>
      </w:r>
      <w:r w:rsidRPr="007D2212">
        <w:rPr>
          <w:rFonts w:eastAsiaTheme="minorEastAsia"/>
          <w:i/>
          <w:lang w:eastAsia="ja-JP"/>
        </w:rPr>
        <w:t>s.l.</w:t>
      </w:r>
      <w:r w:rsidRPr="007D2212">
        <w:rPr>
          <w:rFonts w:eastAsiaTheme="minorEastAsia"/>
          <w:lang w:eastAsia="ja-JP"/>
        </w:rPr>
        <w:t xml:space="preserve"> and </w:t>
      </w:r>
      <w:r w:rsidRPr="007D2212">
        <w:rPr>
          <w:rFonts w:eastAsiaTheme="minorEastAsia"/>
          <w:i/>
          <w:lang w:eastAsia="ja-JP"/>
        </w:rPr>
        <w:t>B.</w:t>
      </w:r>
      <w:r w:rsidRPr="007D2212">
        <w:rPr>
          <w:i/>
          <w:szCs w:val="22"/>
        </w:rPr>
        <w:t> </w:t>
      </w:r>
      <w:r w:rsidRPr="007D2212">
        <w:rPr>
          <w:rFonts w:eastAsiaTheme="minorEastAsia"/>
          <w:i/>
          <w:lang w:eastAsia="ja-JP"/>
        </w:rPr>
        <w:t>carambolae</w:t>
      </w:r>
      <w:r w:rsidRPr="007D2212">
        <w:rPr>
          <w:rFonts w:eastAsiaTheme="minorEastAsia"/>
          <w:lang w:eastAsia="ja-JP"/>
        </w:rPr>
        <w:t xml:space="preserve"> (Table 3). These characters are included because they can be informative in distinguishing some specimens of </w:t>
      </w:r>
      <w:r w:rsidRPr="007D2212">
        <w:rPr>
          <w:rFonts w:eastAsiaTheme="minorEastAsia"/>
          <w:i/>
          <w:lang w:eastAsia="ja-JP"/>
        </w:rPr>
        <w:t>B.</w:t>
      </w:r>
      <w:r w:rsidR="002F2BBB">
        <w:rPr>
          <w:rFonts w:eastAsiaTheme="minorEastAsia"/>
          <w:i/>
          <w:lang w:eastAsia="ja-JP"/>
        </w:rPr>
        <w:t> </w:t>
      </w:r>
      <w:r w:rsidRPr="007D2212">
        <w:rPr>
          <w:rFonts w:eastAsiaTheme="minorEastAsia"/>
          <w:i/>
          <w:lang w:eastAsia="ja-JP"/>
        </w:rPr>
        <w:t>dorsalis</w:t>
      </w:r>
      <w:r w:rsidRPr="007D2212">
        <w:rPr>
          <w:rFonts w:eastAsiaTheme="minorEastAsia"/>
          <w:lang w:eastAsia="ja-JP"/>
        </w:rPr>
        <w:t xml:space="preserve"> </w:t>
      </w:r>
      <w:r w:rsidRPr="007D2212">
        <w:rPr>
          <w:rFonts w:eastAsiaTheme="minorEastAsia"/>
          <w:i/>
          <w:lang w:eastAsia="ja-JP"/>
        </w:rPr>
        <w:t>s.l.</w:t>
      </w:r>
      <w:r w:rsidRPr="007D2212">
        <w:rPr>
          <w:rFonts w:eastAsiaTheme="minorEastAsia"/>
          <w:lang w:eastAsia="ja-JP"/>
        </w:rPr>
        <w:t xml:space="preserve"> from </w:t>
      </w:r>
      <w:r w:rsidRPr="007D2212">
        <w:rPr>
          <w:rFonts w:eastAsiaTheme="minorEastAsia"/>
          <w:i/>
          <w:lang w:eastAsia="ja-JP"/>
        </w:rPr>
        <w:t>B.</w:t>
      </w:r>
      <w:r w:rsidRPr="007D2212">
        <w:rPr>
          <w:i/>
          <w:szCs w:val="22"/>
        </w:rPr>
        <w:t> </w:t>
      </w:r>
      <w:r w:rsidRPr="007D2212">
        <w:rPr>
          <w:rFonts w:eastAsiaTheme="minorEastAsia"/>
          <w:i/>
          <w:lang w:eastAsia="ja-JP"/>
        </w:rPr>
        <w:t>carambolae</w:t>
      </w:r>
      <w:r w:rsidRPr="007D2212">
        <w:rPr>
          <w:rFonts w:eastAsiaTheme="minorEastAsia"/>
          <w:lang w:eastAsia="ja-JP"/>
        </w:rPr>
        <w:t xml:space="preserve">. When specimens match both </w:t>
      </w:r>
      <w:r w:rsidRPr="007D2212">
        <w:rPr>
          <w:rFonts w:eastAsiaTheme="minorEastAsia"/>
          <w:i/>
          <w:lang w:eastAsia="ja-JP"/>
        </w:rPr>
        <w:t>B.</w:t>
      </w:r>
      <w:r w:rsidRPr="007D2212">
        <w:rPr>
          <w:i/>
          <w:szCs w:val="22"/>
        </w:rPr>
        <w:t> </w:t>
      </w:r>
      <w:r w:rsidRPr="007D2212">
        <w:rPr>
          <w:rFonts w:eastAsiaTheme="minorEastAsia"/>
          <w:i/>
          <w:lang w:eastAsia="ja-JP"/>
        </w:rPr>
        <w:t>dorsalis</w:t>
      </w:r>
      <w:r w:rsidRPr="007D2212">
        <w:rPr>
          <w:rFonts w:eastAsiaTheme="minorEastAsia"/>
          <w:lang w:eastAsia="ja-JP"/>
        </w:rPr>
        <w:t xml:space="preserve"> </w:t>
      </w:r>
      <w:r w:rsidRPr="007D2212">
        <w:rPr>
          <w:rFonts w:eastAsiaTheme="minorEastAsia"/>
          <w:i/>
          <w:lang w:eastAsia="ja-JP"/>
        </w:rPr>
        <w:t>s.l.</w:t>
      </w:r>
      <w:r w:rsidRPr="007D2212">
        <w:rPr>
          <w:rFonts w:eastAsiaTheme="minorEastAsia"/>
          <w:lang w:eastAsia="ja-JP"/>
        </w:rPr>
        <w:t xml:space="preserve"> and </w:t>
      </w:r>
      <w:r w:rsidRPr="007D2212">
        <w:rPr>
          <w:rFonts w:eastAsiaTheme="minorEastAsia"/>
          <w:i/>
          <w:lang w:eastAsia="ja-JP"/>
        </w:rPr>
        <w:t>B.</w:t>
      </w:r>
      <w:r w:rsidRPr="007D2212">
        <w:rPr>
          <w:i/>
          <w:szCs w:val="22"/>
        </w:rPr>
        <w:t> </w:t>
      </w:r>
      <w:r w:rsidRPr="007D2212">
        <w:rPr>
          <w:rFonts w:eastAsiaTheme="minorEastAsia"/>
          <w:i/>
          <w:lang w:eastAsia="ja-JP"/>
        </w:rPr>
        <w:t xml:space="preserve">carambolae </w:t>
      </w:r>
      <w:r w:rsidRPr="007D2212">
        <w:rPr>
          <w:rFonts w:eastAsiaTheme="minorEastAsia"/>
          <w:lang w:eastAsia="ja-JP"/>
        </w:rPr>
        <w:t>based on morphology, then a molecular test (section 4.3) should be run to distinguish between these species.</w:t>
      </w:r>
    </w:p>
    <w:p w14:paraId="2B684030" w14:textId="77777777" w:rsidR="00612969" w:rsidRPr="007D2212" w:rsidRDefault="00E97743">
      <w:pPr>
        <w:pStyle w:val="IPPParagraphnumbering"/>
        <w:rPr>
          <w:rFonts w:eastAsiaTheme="minorEastAsia"/>
          <w:b/>
          <w:color w:val="000000"/>
          <w:lang w:val="en-GB" w:eastAsia="ja-JP"/>
        </w:rPr>
        <w:sectPr w:rsidR="00612969" w:rsidRPr="007D2212">
          <w:headerReference w:type="even" r:id="rId8"/>
          <w:headerReference w:type="default" r:id="rId9"/>
          <w:footerReference w:type="even" r:id="rId10"/>
          <w:footerReference w:type="default" r:id="rId11"/>
          <w:headerReference w:type="first" r:id="rId12"/>
          <w:footerReference w:type="first" r:id="rId13"/>
          <w:pgSz w:w="11907" w:h="16839" w:code="9"/>
          <w:pgMar w:top="1440" w:right="1440" w:bottom="1440" w:left="1440" w:header="708" w:footer="708" w:gutter="0"/>
          <w:cols w:space="708"/>
          <w:titlePg/>
          <w:docGrid w:linePitch="360"/>
        </w:sectPr>
      </w:pPr>
      <w:r w:rsidRPr="007D2212">
        <w:rPr>
          <w:rStyle w:val="PleaseReviewParagraphId"/>
          <w:lang w:val="en-GB"/>
        </w:rPr>
        <w:t>[182]</w:t>
      </w:r>
    </w:p>
    <w:p w14:paraId="59732D9B" w14:textId="77777777" w:rsidR="00612969" w:rsidRPr="007D2212" w:rsidRDefault="00E97743">
      <w:pPr>
        <w:pStyle w:val="IPPNormal"/>
        <w:rPr>
          <w:lang w:eastAsia="ja-JP"/>
        </w:rPr>
      </w:pPr>
      <w:r w:rsidRPr="007D2212">
        <w:rPr>
          <w:rStyle w:val="PleaseReviewParagraphId"/>
        </w:rPr>
        <w:lastRenderedPageBreak/>
        <w:t>[183]</w:t>
      </w:r>
      <w:r w:rsidRPr="007D2212">
        <w:rPr>
          <w:b/>
          <w:lang w:eastAsia="ja-JP"/>
        </w:rPr>
        <w:t>Table 3.</w:t>
      </w:r>
      <w:r w:rsidRPr="007D2212">
        <w:rPr>
          <w:lang w:eastAsia="ja-JP"/>
        </w:rPr>
        <w:t xml:space="preserve"> Diagnostic morphological characters of adult fruit flies of six economically important species of the </w:t>
      </w:r>
      <w:r w:rsidRPr="007D2212">
        <w:rPr>
          <w:i/>
          <w:lang w:eastAsia="ja-JP"/>
        </w:rPr>
        <w:t>Bactrocera dorsalis</w:t>
      </w:r>
      <w:r w:rsidRPr="007D2212">
        <w:rPr>
          <w:lang w:eastAsia="ja-JP"/>
        </w:rPr>
        <w:t xml:space="preserve"> complex</w:t>
      </w:r>
    </w:p>
    <w:tbl>
      <w:tblPr>
        <w:tblW w:w="14080" w:type="dxa"/>
        <w:tblLook w:val="04A0" w:firstRow="1" w:lastRow="0" w:firstColumn="1" w:lastColumn="0" w:noHBand="0" w:noVBand="1"/>
      </w:tblPr>
      <w:tblGrid>
        <w:gridCol w:w="1473"/>
        <w:gridCol w:w="2120"/>
        <w:gridCol w:w="2120"/>
        <w:gridCol w:w="2120"/>
        <w:gridCol w:w="2120"/>
        <w:gridCol w:w="2120"/>
        <w:gridCol w:w="2120"/>
      </w:tblGrid>
      <w:tr w:rsidR="00612969" w:rsidRPr="007D2212" w14:paraId="6DB61BB0" w14:textId="77777777" w:rsidTr="00A4522D">
        <w:trPr>
          <w:trHeight w:val="300"/>
        </w:trPr>
        <w:tc>
          <w:tcPr>
            <w:tcW w:w="1360" w:type="dxa"/>
            <w:tcBorders>
              <w:top w:val="single" w:sz="8" w:space="0" w:color="auto"/>
              <w:left w:val="single" w:sz="8" w:space="0" w:color="auto"/>
              <w:bottom w:val="single" w:sz="8" w:space="0" w:color="auto"/>
              <w:right w:val="single" w:sz="8" w:space="0" w:color="auto"/>
            </w:tcBorders>
            <w:shd w:val="clear" w:color="auto" w:fill="BFBFBF" w:themeFill="background1" w:themeFillShade="BF"/>
            <w:noWrap/>
            <w:vAlign w:val="bottom"/>
            <w:hideMark/>
          </w:tcPr>
          <w:p w14:paraId="32A967AE" w14:textId="77777777" w:rsidR="00612969" w:rsidRPr="007D2212" w:rsidRDefault="00E97743">
            <w:pPr>
              <w:jc w:val="left"/>
              <w:rPr>
                <w:rFonts w:ascii="Calibri" w:eastAsia="Times New Roman" w:hAnsi="Calibri"/>
                <w:b/>
                <w:bCs/>
                <w:color w:val="000000"/>
                <w:szCs w:val="22"/>
              </w:rPr>
            </w:pPr>
            <w:r w:rsidRPr="007D2212">
              <w:rPr>
                <w:rStyle w:val="PleaseReviewParagraphId"/>
              </w:rPr>
              <w:t>[184]</w:t>
            </w:r>
            <w:r w:rsidRPr="007D2212">
              <w:rPr>
                <w:rFonts w:ascii="Calibri" w:eastAsia="Times New Roman" w:hAnsi="Calibri"/>
                <w:b/>
                <w:bCs/>
                <w:color w:val="000000"/>
                <w:szCs w:val="22"/>
              </w:rPr>
              <w:t>Structure</w:t>
            </w:r>
          </w:p>
        </w:tc>
        <w:tc>
          <w:tcPr>
            <w:tcW w:w="12720" w:type="dxa"/>
            <w:gridSpan w:val="6"/>
            <w:tcBorders>
              <w:top w:val="single" w:sz="8" w:space="0" w:color="auto"/>
              <w:left w:val="nil"/>
              <w:bottom w:val="single" w:sz="8" w:space="0" w:color="auto"/>
              <w:right w:val="single" w:sz="8" w:space="0" w:color="000000"/>
            </w:tcBorders>
            <w:shd w:val="clear" w:color="auto" w:fill="BFBFBF" w:themeFill="background1" w:themeFillShade="BF"/>
            <w:noWrap/>
            <w:vAlign w:val="bottom"/>
            <w:hideMark/>
          </w:tcPr>
          <w:p w14:paraId="27FB45EB" w14:textId="77777777" w:rsidR="00612969" w:rsidRPr="007D2212" w:rsidRDefault="00E97743">
            <w:pPr>
              <w:jc w:val="center"/>
              <w:rPr>
                <w:rFonts w:ascii="Calibri" w:eastAsia="Times New Roman" w:hAnsi="Calibri"/>
                <w:b/>
                <w:bCs/>
                <w:color w:val="000000"/>
                <w:szCs w:val="22"/>
              </w:rPr>
            </w:pPr>
            <w:r w:rsidRPr="007D2212">
              <w:rPr>
                <w:rStyle w:val="PleaseReviewParagraphId"/>
              </w:rPr>
              <w:t>[185]</w:t>
            </w:r>
            <w:r w:rsidRPr="007D2212">
              <w:rPr>
                <w:rFonts w:ascii="Calibri" w:eastAsia="Times New Roman" w:hAnsi="Calibri"/>
                <w:b/>
                <w:bCs/>
                <w:color w:val="000000"/>
                <w:szCs w:val="22"/>
              </w:rPr>
              <w:t>Species</w:t>
            </w:r>
          </w:p>
        </w:tc>
      </w:tr>
      <w:tr w:rsidR="00612969" w:rsidRPr="007D2212" w14:paraId="0522C30A" w14:textId="77777777">
        <w:trPr>
          <w:trHeight w:val="360"/>
        </w:trPr>
        <w:tc>
          <w:tcPr>
            <w:tcW w:w="1360" w:type="dxa"/>
            <w:tcBorders>
              <w:top w:val="nil"/>
              <w:left w:val="single" w:sz="8" w:space="0" w:color="auto"/>
              <w:bottom w:val="single" w:sz="8" w:space="0" w:color="auto"/>
              <w:right w:val="single" w:sz="4" w:space="0" w:color="auto"/>
            </w:tcBorders>
            <w:shd w:val="clear" w:color="auto" w:fill="auto"/>
            <w:noWrap/>
            <w:vAlign w:val="bottom"/>
            <w:hideMark/>
          </w:tcPr>
          <w:p w14:paraId="7E512E89" w14:textId="77777777" w:rsidR="00612969" w:rsidRPr="007D2212" w:rsidRDefault="00E97743">
            <w:pPr>
              <w:jc w:val="left"/>
              <w:rPr>
                <w:rFonts w:ascii="Calibri" w:eastAsia="Times New Roman" w:hAnsi="Calibri"/>
                <w:color w:val="000000"/>
                <w:szCs w:val="22"/>
              </w:rPr>
            </w:pPr>
            <w:r w:rsidRPr="007D2212">
              <w:rPr>
                <w:rStyle w:val="PleaseReviewParagraphId"/>
              </w:rPr>
              <w:t>[186]</w:t>
            </w:r>
            <w:r w:rsidRPr="007D2212">
              <w:rPr>
                <w:rFonts w:ascii="Calibri" w:eastAsia="Times New Roman" w:hAnsi="Calibri"/>
                <w:color w:val="000000"/>
                <w:szCs w:val="22"/>
              </w:rPr>
              <w:t> </w:t>
            </w:r>
          </w:p>
        </w:tc>
        <w:tc>
          <w:tcPr>
            <w:tcW w:w="2120" w:type="dxa"/>
            <w:tcBorders>
              <w:top w:val="nil"/>
              <w:left w:val="nil"/>
              <w:bottom w:val="single" w:sz="8" w:space="0" w:color="auto"/>
              <w:right w:val="single" w:sz="4" w:space="0" w:color="auto"/>
            </w:tcBorders>
            <w:shd w:val="clear" w:color="auto" w:fill="auto"/>
            <w:hideMark/>
          </w:tcPr>
          <w:p w14:paraId="0B734ADD" w14:textId="77777777" w:rsidR="00612969" w:rsidRPr="007D2212" w:rsidRDefault="00E97743">
            <w:pPr>
              <w:jc w:val="left"/>
              <w:rPr>
                <w:rFonts w:ascii="Calibri" w:eastAsia="Times New Roman" w:hAnsi="Calibri"/>
                <w:i/>
                <w:iCs/>
                <w:color w:val="000000"/>
                <w:szCs w:val="22"/>
              </w:rPr>
            </w:pPr>
            <w:r w:rsidRPr="007D2212">
              <w:rPr>
                <w:rStyle w:val="PleaseReviewParagraphId"/>
              </w:rPr>
              <w:t>[187]</w:t>
            </w:r>
            <w:r w:rsidRPr="007D2212">
              <w:rPr>
                <w:rFonts w:ascii="Calibri" w:eastAsia="Times New Roman" w:hAnsi="Calibri"/>
                <w:i/>
                <w:iCs/>
                <w:color w:val="000000"/>
                <w:szCs w:val="22"/>
              </w:rPr>
              <w:t>Bactrocera carambolae</w:t>
            </w:r>
          </w:p>
        </w:tc>
        <w:tc>
          <w:tcPr>
            <w:tcW w:w="2120" w:type="dxa"/>
            <w:tcBorders>
              <w:top w:val="nil"/>
              <w:left w:val="nil"/>
              <w:bottom w:val="single" w:sz="8" w:space="0" w:color="auto"/>
              <w:right w:val="single" w:sz="4" w:space="0" w:color="auto"/>
            </w:tcBorders>
            <w:shd w:val="clear" w:color="auto" w:fill="auto"/>
            <w:hideMark/>
          </w:tcPr>
          <w:p w14:paraId="610BB4F5" w14:textId="77777777" w:rsidR="00612969" w:rsidRPr="007D2212" w:rsidRDefault="00E97743">
            <w:pPr>
              <w:jc w:val="left"/>
              <w:rPr>
                <w:rFonts w:ascii="Calibri" w:eastAsia="Times New Roman" w:hAnsi="Calibri"/>
                <w:i/>
                <w:iCs/>
                <w:color w:val="000000"/>
                <w:szCs w:val="22"/>
              </w:rPr>
            </w:pPr>
            <w:r w:rsidRPr="007D2212">
              <w:rPr>
                <w:rStyle w:val="PleaseReviewParagraphId"/>
              </w:rPr>
              <w:t>[188]</w:t>
            </w:r>
            <w:r w:rsidRPr="007D2212">
              <w:rPr>
                <w:rFonts w:ascii="Calibri" w:eastAsia="Times New Roman" w:hAnsi="Calibri"/>
                <w:i/>
                <w:iCs/>
                <w:color w:val="000000"/>
                <w:szCs w:val="22"/>
              </w:rPr>
              <w:t>Bactrocera caryeae</w:t>
            </w:r>
          </w:p>
        </w:tc>
        <w:tc>
          <w:tcPr>
            <w:tcW w:w="2120" w:type="dxa"/>
            <w:tcBorders>
              <w:top w:val="nil"/>
              <w:left w:val="nil"/>
              <w:bottom w:val="single" w:sz="8" w:space="0" w:color="auto"/>
              <w:right w:val="single" w:sz="4" w:space="0" w:color="auto"/>
            </w:tcBorders>
            <w:shd w:val="clear" w:color="auto" w:fill="auto"/>
            <w:hideMark/>
          </w:tcPr>
          <w:p w14:paraId="192A0F72" w14:textId="77777777" w:rsidR="00612969" w:rsidRPr="007D2212" w:rsidRDefault="00E97743">
            <w:pPr>
              <w:jc w:val="left"/>
              <w:rPr>
                <w:rFonts w:ascii="Calibri" w:eastAsia="Times New Roman" w:hAnsi="Calibri"/>
                <w:i/>
                <w:iCs/>
                <w:color w:val="000000"/>
                <w:szCs w:val="22"/>
              </w:rPr>
            </w:pPr>
            <w:r w:rsidRPr="007D2212">
              <w:rPr>
                <w:rStyle w:val="PleaseReviewParagraphId"/>
              </w:rPr>
              <w:t>[189]</w:t>
            </w:r>
            <w:r w:rsidRPr="007D2212">
              <w:rPr>
                <w:rFonts w:ascii="Calibri" w:eastAsia="Times New Roman" w:hAnsi="Calibri"/>
                <w:i/>
                <w:iCs/>
                <w:color w:val="000000"/>
                <w:szCs w:val="22"/>
              </w:rPr>
              <w:t>Bactrocera dorsalis</w:t>
            </w:r>
            <w:r w:rsidRPr="007D2212">
              <w:rPr>
                <w:rFonts w:ascii="Calibri" w:eastAsia="Times New Roman" w:hAnsi="Calibri"/>
                <w:color w:val="000000"/>
                <w:szCs w:val="22"/>
              </w:rPr>
              <w:t xml:space="preserve"> </w:t>
            </w:r>
            <w:r w:rsidRPr="00A4522D">
              <w:rPr>
                <w:rFonts w:ascii="Calibri" w:eastAsia="Times New Roman" w:hAnsi="Calibri"/>
                <w:i/>
                <w:color w:val="000000"/>
                <w:szCs w:val="22"/>
              </w:rPr>
              <w:t>s.l.</w:t>
            </w:r>
          </w:p>
        </w:tc>
        <w:tc>
          <w:tcPr>
            <w:tcW w:w="2120" w:type="dxa"/>
            <w:tcBorders>
              <w:top w:val="nil"/>
              <w:left w:val="nil"/>
              <w:bottom w:val="single" w:sz="8" w:space="0" w:color="auto"/>
              <w:right w:val="single" w:sz="4" w:space="0" w:color="auto"/>
            </w:tcBorders>
            <w:shd w:val="clear" w:color="auto" w:fill="auto"/>
            <w:hideMark/>
          </w:tcPr>
          <w:p w14:paraId="7D9F463A" w14:textId="77777777" w:rsidR="00612969" w:rsidRPr="007D2212" w:rsidRDefault="00E97743">
            <w:pPr>
              <w:jc w:val="left"/>
              <w:rPr>
                <w:rFonts w:ascii="Calibri" w:eastAsia="Times New Roman" w:hAnsi="Calibri"/>
                <w:i/>
                <w:iCs/>
                <w:color w:val="000000"/>
                <w:szCs w:val="22"/>
              </w:rPr>
            </w:pPr>
            <w:r w:rsidRPr="007D2212">
              <w:rPr>
                <w:rStyle w:val="PleaseReviewParagraphId"/>
              </w:rPr>
              <w:t>[190]</w:t>
            </w:r>
            <w:r w:rsidRPr="007D2212">
              <w:rPr>
                <w:rFonts w:ascii="Calibri" w:eastAsia="Times New Roman" w:hAnsi="Calibri"/>
                <w:i/>
                <w:iCs/>
                <w:color w:val="000000"/>
                <w:szCs w:val="22"/>
              </w:rPr>
              <w:t>Bactrocera kandiensis</w:t>
            </w:r>
          </w:p>
        </w:tc>
        <w:tc>
          <w:tcPr>
            <w:tcW w:w="2120" w:type="dxa"/>
            <w:tcBorders>
              <w:top w:val="nil"/>
              <w:left w:val="nil"/>
              <w:bottom w:val="single" w:sz="8" w:space="0" w:color="auto"/>
              <w:right w:val="single" w:sz="4" w:space="0" w:color="auto"/>
            </w:tcBorders>
            <w:shd w:val="clear" w:color="auto" w:fill="auto"/>
            <w:hideMark/>
          </w:tcPr>
          <w:p w14:paraId="625619A7" w14:textId="77777777" w:rsidR="00612969" w:rsidRPr="007D2212" w:rsidRDefault="00E97743">
            <w:pPr>
              <w:jc w:val="left"/>
              <w:rPr>
                <w:rFonts w:ascii="Calibri" w:eastAsia="Times New Roman" w:hAnsi="Calibri"/>
                <w:i/>
                <w:iCs/>
                <w:color w:val="000000"/>
                <w:szCs w:val="22"/>
              </w:rPr>
            </w:pPr>
            <w:r w:rsidRPr="007D2212">
              <w:rPr>
                <w:rStyle w:val="PleaseReviewParagraphId"/>
              </w:rPr>
              <w:t>[191]</w:t>
            </w:r>
            <w:r w:rsidRPr="007D2212">
              <w:rPr>
                <w:rFonts w:ascii="Calibri" w:eastAsia="Times New Roman" w:hAnsi="Calibri"/>
                <w:i/>
                <w:iCs/>
                <w:color w:val="000000"/>
                <w:szCs w:val="22"/>
              </w:rPr>
              <w:t>Bactrocera occipitalis</w:t>
            </w:r>
          </w:p>
        </w:tc>
        <w:tc>
          <w:tcPr>
            <w:tcW w:w="2120" w:type="dxa"/>
            <w:tcBorders>
              <w:top w:val="nil"/>
              <w:left w:val="nil"/>
              <w:bottom w:val="single" w:sz="8" w:space="0" w:color="auto"/>
              <w:right w:val="single" w:sz="8" w:space="0" w:color="auto"/>
            </w:tcBorders>
            <w:shd w:val="clear" w:color="auto" w:fill="auto"/>
            <w:hideMark/>
          </w:tcPr>
          <w:p w14:paraId="1C22FBCE" w14:textId="77777777" w:rsidR="00612969" w:rsidRPr="007D2212" w:rsidRDefault="00E97743">
            <w:pPr>
              <w:jc w:val="left"/>
              <w:rPr>
                <w:rFonts w:ascii="Calibri" w:eastAsia="Times New Roman" w:hAnsi="Calibri"/>
                <w:i/>
                <w:iCs/>
                <w:color w:val="000000"/>
                <w:szCs w:val="22"/>
              </w:rPr>
            </w:pPr>
            <w:r w:rsidRPr="007D2212">
              <w:rPr>
                <w:rStyle w:val="PleaseReviewParagraphId"/>
              </w:rPr>
              <w:t>[192]</w:t>
            </w:r>
            <w:r w:rsidRPr="007D2212">
              <w:rPr>
                <w:rFonts w:ascii="Calibri" w:eastAsia="Times New Roman" w:hAnsi="Calibri"/>
                <w:i/>
                <w:iCs/>
                <w:color w:val="000000"/>
                <w:szCs w:val="22"/>
              </w:rPr>
              <w:t>Bactrocera pyrifoliae</w:t>
            </w:r>
          </w:p>
        </w:tc>
      </w:tr>
      <w:tr w:rsidR="00612969" w:rsidRPr="007D2212" w14:paraId="17C31D7F" w14:textId="77777777" w:rsidTr="00A4522D">
        <w:trPr>
          <w:trHeight w:val="300"/>
        </w:trPr>
        <w:tc>
          <w:tcPr>
            <w:tcW w:w="1360" w:type="dxa"/>
            <w:tcBorders>
              <w:top w:val="nil"/>
              <w:left w:val="single" w:sz="8" w:space="0" w:color="auto"/>
              <w:bottom w:val="single" w:sz="8" w:space="0" w:color="auto"/>
              <w:right w:val="nil"/>
            </w:tcBorders>
            <w:shd w:val="clear" w:color="auto" w:fill="BFBFBF" w:themeFill="background1" w:themeFillShade="BF"/>
            <w:noWrap/>
            <w:vAlign w:val="bottom"/>
            <w:hideMark/>
          </w:tcPr>
          <w:p w14:paraId="21A108C3" w14:textId="77777777" w:rsidR="00612969" w:rsidRPr="007D2212" w:rsidRDefault="00E97743">
            <w:pPr>
              <w:jc w:val="left"/>
              <w:rPr>
                <w:rFonts w:ascii="Calibri" w:eastAsia="Times New Roman" w:hAnsi="Calibri"/>
                <w:b/>
                <w:bCs/>
                <w:color w:val="000000"/>
                <w:szCs w:val="22"/>
              </w:rPr>
            </w:pPr>
            <w:r w:rsidRPr="007D2212">
              <w:rPr>
                <w:rStyle w:val="PleaseReviewParagraphId"/>
              </w:rPr>
              <w:t>[193]</w:t>
            </w:r>
            <w:r w:rsidRPr="007D2212">
              <w:rPr>
                <w:rFonts w:ascii="Calibri" w:eastAsia="Times New Roman" w:hAnsi="Calibri"/>
                <w:b/>
                <w:bCs/>
                <w:color w:val="000000"/>
                <w:szCs w:val="22"/>
              </w:rPr>
              <w:t>Head</w:t>
            </w:r>
          </w:p>
        </w:tc>
        <w:tc>
          <w:tcPr>
            <w:tcW w:w="2120" w:type="dxa"/>
            <w:tcBorders>
              <w:top w:val="nil"/>
              <w:left w:val="nil"/>
              <w:bottom w:val="single" w:sz="8" w:space="0" w:color="auto"/>
              <w:right w:val="nil"/>
            </w:tcBorders>
            <w:shd w:val="clear" w:color="auto" w:fill="BFBFBF" w:themeFill="background1" w:themeFillShade="BF"/>
            <w:hideMark/>
          </w:tcPr>
          <w:p w14:paraId="39D9E82C" w14:textId="77777777" w:rsidR="00612969" w:rsidRPr="007D2212" w:rsidRDefault="00E97743">
            <w:pPr>
              <w:jc w:val="left"/>
              <w:rPr>
                <w:rFonts w:ascii="Calibri" w:eastAsia="Times New Roman" w:hAnsi="Calibri"/>
                <w:i/>
                <w:iCs/>
                <w:color w:val="000000"/>
                <w:szCs w:val="22"/>
              </w:rPr>
            </w:pPr>
            <w:r w:rsidRPr="007D2212">
              <w:rPr>
                <w:rStyle w:val="PleaseReviewParagraphId"/>
              </w:rPr>
              <w:t>[194]</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77ACB6D3" w14:textId="77777777" w:rsidR="00612969" w:rsidRPr="007D2212" w:rsidRDefault="00E97743">
            <w:pPr>
              <w:jc w:val="left"/>
              <w:rPr>
                <w:rFonts w:ascii="Calibri" w:eastAsia="Times New Roman" w:hAnsi="Calibri"/>
                <w:i/>
                <w:iCs/>
                <w:color w:val="000000"/>
                <w:szCs w:val="22"/>
              </w:rPr>
            </w:pPr>
            <w:r w:rsidRPr="007D2212">
              <w:rPr>
                <w:rStyle w:val="PleaseReviewParagraphId"/>
              </w:rPr>
              <w:t>[195]</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37EEAA80" w14:textId="77777777" w:rsidR="00612969" w:rsidRPr="007D2212" w:rsidRDefault="00E97743">
            <w:pPr>
              <w:jc w:val="left"/>
              <w:rPr>
                <w:rFonts w:ascii="Calibri" w:eastAsia="Times New Roman" w:hAnsi="Calibri"/>
                <w:i/>
                <w:iCs/>
                <w:color w:val="000000"/>
                <w:szCs w:val="22"/>
              </w:rPr>
            </w:pPr>
            <w:r w:rsidRPr="007D2212">
              <w:rPr>
                <w:rStyle w:val="PleaseReviewParagraphId"/>
              </w:rPr>
              <w:t>[196]</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5A0FAF10" w14:textId="77777777" w:rsidR="00612969" w:rsidRPr="007D2212" w:rsidRDefault="00E97743">
            <w:pPr>
              <w:jc w:val="left"/>
              <w:rPr>
                <w:rFonts w:ascii="Calibri" w:eastAsia="Times New Roman" w:hAnsi="Calibri"/>
                <w:i/>
                <w:iCs/>
                <w:color w:val="000000"/>
                <w:szCs w:val="22"/>
              </w:rPr>
            </w:pPr>
            <w:r w:rsidRPr="007D2212">
              <w:rPr>
                <w:rStyle w:val="PleaseReviewParagraphId"/>
              </w:rPr>
              <w:t>[197]</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26BBEC5B" w14:textId="77777777" w:rsidR="00612969" w:rsidRPr="007D2212" w:rsidRDefault="00E97743">
            <w:pPr>
              <w:jc w:val="left"/>
              <w:rPr>
                <w:rFonts w:ascii="Calibri" w:eastAsia="Times New Roman" w:hAnsi="Calibri"/>
                <w:i/>
                <w:iCs/>
                <w:color w:val="000000"/>
                <w:szCs w:val="22"/>
              </w:rPr>
            </w:pPr>
            <w:r w:rsidRPr="007D2212">
              <w:rPr>
                <w:rStyle w:val="PleaseReviewParagraphId"/>
              </w:rPr>
              <w:t>[198]</w:t>
            </w:r>
            <w:r w:rsidRPr="007D2212">
              <w:rPr>
                <w:rFonts w:ascii="Calibri" w:eastAsia="Times New Roman" w:hAnsi="Calibri"/>
                <w:i/>
                <w:iCs/>
                <w:color w:val="000000"/>
                <w:szCs w:val="22"/>
              </w:rPr>
              <w:t> </w:t>
            </w:r>
          </w:p>
        </w:tc>
        <w:tc>
          <w:tcPr>
            <w:tcW w:w="2120" w:type="dxa"/>
            <w:tcBorders>
              <w:top w:val="nil"/>
              <w:left w:val="nil"/>
              <w:bottom w:val="single" w:sz="8" w:space="0" w:color="auto"/>
              <w:right w:val="single" w:sz="8" w:space="0" w:color="auto"/>
            </w:tcBorders>
            <w:shd w:val="clear" w:color="auto" w:fill="BFBFBF" w:themeFill="background1" w:themeFillShade="BF"/>
            <w:hideMark/>
          </w:tcPr>
          <w:p w14:paraId="126715FC" w14:textId="77777777" w:rsidR="00612969" w:rsidRPr="007D2212" w:rsidRDefault="00E97743">
            <w:pPr>
              <w:jc w:val="left"/>
              <w:rPr>
                <w:rFonts w:ascii="Calibri" w:eastAsia="Times New Roman" w:hAnsi="Calibri"/>
                <w:i/>
                <w:iCs/>
                <w:color w:val="000000"/>
                <w:szCs w:val="22"/>
              </w:rPr>
            </w:pPr>
            <w:r w:rsidRPr="007D2212">
              <w:rPr>
                <w:rStyle w:val="PleaseReviewParagraphId"/>
              </w:rPr>
              <w:t>[199]</w:t>
            </w:r>
            <w:r w:rsidRPr="007D2212">
              <w:rPr>
                <w:rFonts w:ascii="Calibri" w:eastAsia="Times New Roman" w:hAnsi="Calibri"/>
                <w:i/>
                <w:iCs/>
                <w:color w:val="000000"/>
                <w:szCs w:val="22"/>
              </w:rPr>
              <w:t> </w:t>
            </w:r>
          </w:p>
        </w:tc>
      </w:tr>
      <w:tr w:rsidR="00612969" w:rsidRPr="007D2212" w14:paraId="53A67978" w14:textId="77777777">
        <w:trPr>
          <w:trHeight w:val="696"/>
        </w:trPr>
        <w:tc>
          <w:tcPr>
            <w:tcW w:w="1360" w:type="dxa"/>
            <w:tcBorders>
              <w:top w:val="nil"/>
              <w:left w:val="single" w:sz="8" w:space="0" w:color="auto"/>
              <w:bottom w:val="single" w:sz="8" w:space="0" w:color="auto"/>
              <w:right w:val="single" w:sz="8" w:space="0" w:color="auto"/>
            </w:tcBorders>
            <w:shd w:val="clear" w:color="auto" w:fill="auto"/>
            <w:vAlign w:val="center"/>
            <w:hideMark/>
          </w:tcPr>
          <w:p w14:paraId="334F4669"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[200]</w:t>
            </w:r>
            <w:r w:rsidRPr="007D2212">
              <w:rPr>
                <w:rFonts w:ascii="Arial" w:eastAsia="Times New Roman" w:hAnsi="Arial" w:cs="Arial"/>
                <w:color w:val="000000"/>
                <w:sz w:val="18"/>
                <w:szCs w:val="18"/>
              </w:rPr>
              <w:t>Facial spots (Figures 8(a), 8(b), 11)</w:t>
            </w:r>
          </w:p>
        </w:tc>
        <w:tc>
          <w:tcPr>
            <w:tcW w:w="2120" w:type="dxa"/>
            <w:tcBorders>
              <w:top w:val="nil"/>
              <w:left w:val="nil"/>
              <w:bottom w:val="nil"/>
              <w:right w:val="single" w:sz="8" w:space="0" w:color="auto"/>
            </w:tcBorders>
            <w:shd w:val="clear" w:color="auto" w:fill="auto"/>
            <w:vAlign w:val="center"/>
            <w:hideMark/>
          </w:tcPr>
          <w:p w14:paraId="034D099B"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[201]</w:t>
            </w:r>
            <w:r w:rsidRPr="007D2212">
              <w:rPr>
                <w:rFonts w:ascii="Arial" w:eastAsia="Times New Roman" w:hAnsi="Arial" w:cs="Arial"/>
                <w:color w:val="000000"/>
                <w:sz w:val="18"/>
                <w:szCs w:val="18"/>
              </w:rPr>
              <w:t>Medium-sized, oval (Figure 11</w:t>
            </w:r>
            <w:r w:rsidR="00C052A0" w:rsidRPr="007D2212">
              <w:rPr>
                <w:rFonts w:ascii="Arial" w:eastAsia="Times New Roman" w:hAnsi="Arial" w:cs="Arial"/>
                <w:color w:val="000000"/>
                <w:sz w:val="18"/>
                <w:szCs w:val="18"/>
              </w:rPr>
              <w:t>(</w:t>
            </w:r>
            <w:r w:rsidRPr="007D2212">
              <w:rPr>
                <w:rFonts w:ascii="Arial" w:eastAsia="Times New Roman" w:hAnsi="Arial" w:cs="Arial"/>
                <w:color w:val="000000"/>
                <w:sz w:val="18"/>
                <w:szCs w:val="18"/>
              </w:rPr>
              <w:t>a</w:t>
            </w:r>
            <w:r w:rsidR="00C052A0" w:rsidRPr="007D2212">
              <w:rPr>
                <w:rFonts w:ascii="Arial" w:eastAsia="Times New Roman" w:hAnsi="Arial" w:cs="Arial"/>
                <w:color w:val="000000"/>
                <w:sz w:val="18"/>
                <w:szCs w:val="18"/>
              </w:rPr>
              <w:t>)</w:t>
            </w:r>
            <w:r w:rsidRPr="007D2212">
              <w:rPr>
                <w:rFonts w:ascii="Arial" w:eastAsia="Times New Roman" w:hAnsi="Arial" w:cs="Arial"/>
                <w:color w:val="000000"/>
                <w:sz w:val="18"/>
                <w:szCs w:val="18"/>
              </w:rPr>
              <w:t>)</w:t>
            </w:r>
          </w:p>
        </w:tc>
        <w:tc>
          <w:tcPr>
            <w:tcW w:w="2120" w:type="dxa"/>
            <w:tcBorders>
              <w:top w:val="nil"/>
              <w:left w:val="nil"/>
              <w:bottom w:val="nil"/>
              <w:right w:val="single" w:sz="8" w:space="0" w:color="auto"/>
            </w:tcBorders>
            <w:shd w:val="clear" w:color="auto" w:fill="auto"/>
            <w:vAlign w:val="center"/>
            <w:hideMark/>
          </w:tcPr>
          <w:p w14:paraId="3D764285"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[202]</w:t>
            </w:r>
            <w:r w:rsidRPr="007D2212">
              <w:rPr>
                <w:rFonts w:ascii="Arial" w:eastAsia="Times New Roman" w:hAnsi="Arial" w:cs="Arial"/>
                <w:color w:val="000000"/>
                <w:sz w:val="18"/>
                <w:szCs w:val="18"/>
              </w:rPr>
              <w:t>Large, elongate oval (Figure 11(b))</w:t>
            </w:r>
          </w:p>
        </w:tc>
        <w:tc>
          <w:tcPr>
            <w:tcW w:w="2120" w:type="dxa"/>
            <w:tcBorders>
              <w:top w:val="nil"/>
              <w:left w:val="nil"/>
              <w:bottom w:val="nil"/>
              <w:right w:val="single" w:sz="8" w:space="0" w:color="auto"/>
            </w:tcBorders>
            <w:shd w:val="clear" w:color="auto" w:fill="auto"/>
            <w:vAlign w:val="center"/>
            <w:hideMark/>
          </w:tcPr>
          <w:p w14:paraId="7CE2BF88"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[203]</w:t>
            </w:r>
            <w:r w:rsidRPr="007D2212">
              <w:rPr>
                <w:rFonts w:ascii="Arial" w:eastAsia="Times New Roman" w:hAnsi="Arial" w:cs="Arial"/>
                <w:color w:val="000000"/>
                <w:sz w:val="18"/>
                <w:szCs w:val="18"/>
              </w:rPr>
              <w:t>Medium to large, circular to oval (inter-regionally variable) (Figure 11(c))</w:t>
            </w:r>
          </w:p>
        </w:tc>
        <w:tc>
          <w:tcPr>
            <w:tcW w:w="2120" w:type="dxa"/>
            <w:tcBorders>
              <w:top w:val="nil"/>
              <w:left w:val="nil"/>
              <w:bottom w:val="nil"/>
              <w:right w:val="single" w:sz="8" w:space="0" w:color="auto"/>
            </w:tcBorders>
            <w:shd w:val="clear" w:color="auto" w:fill="auto"/>
            <w:vAlign w:val="center"/>
            <w:hideMark/>
          </w:tcPr>
          <w:p w14:paraId="21DAC5BC"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[204]</w:t>
            </w:r>
            <w:r w:rsidRPr="007D2212">
              <w:rPr>
                <w:rFonts w:ascii="Arial" w:eastAsia="Times New Roman" w:hAnsi="Arial" w:cs="Arial"/>
                <w:color w:val="000000"/>
                <w:sz w:val="18"/>
                <w:szCs w:val="18"/>
              </w:rPr>
              <w:t>Large, oval (Figure 11(d))</w:t>
            </w:r>
          </w:p>
        </w:tc>
        <w:tc>
          <w:tcPr>
            <w:tcW w:w="2120" w:type="dxa"/>
            <w:tcBorders>
              <w:top w:val="nil"/>
              <w:left w:val="nil"/>
              <w:bottom w:val="nil"/>
              <w:right w:val="single" w:sz="8" w:space="0" w:color="auto"/>
            </w:tcBorders>
            <w:shd w:val="clear" w:color="auto" w:fill="auto"/>
            <w:vAlign w:val="center"/>
            <w:hideMark/>
          </w:tcPr>
          <w:p w14:paraId="60E0848D"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[205]</w:t>
            </w:r>
            <w:r w:rsidRPr="007D2212">
              <w:rPr>
                <w:rFonts w:ascii="Arial" w:eastAsia="Times New Roman" w:hAnsi="Arial" w:cs="Arial"/>
                <w:color w:val="000000"/>
                <w:sz w:val="18"/>
                <w:szCs w:val="18"/>
              </w:rPr>
              <w:t>Large, oval (Figure 11</w:t>
            </w:r>
            <w:r w:rsidR="00C052A0" w:rsidRPr="007D2212">
              <w:rPr>
                <w:rFonts w:ascii="Arial" w:eastAsia="Times New Roman" w:hAnsi="Arial" w:cs="Arial"/>
                <w:color w:val="000000"/>
                <w:sz w:val="18"/>
                <w:szCs w:val="18"/>
              </w:rPr>
              <w:t>(</w:t>
            </w:r>
            <w:r w:rsidRPr="007D2212">
              <w:rPr>
                <w:rFonts w:ascii="Arial" w:eastAsia="Times New Roman" w:hAnsi="Arial" w:cs="Arial"/>
                <w:color w:val="000000"/>
                <w:sz w:val="18"/>
                <w:szCs w:val="18"/>
              </w:rPr>
              <w:t>e</w:t>
            </w:r>
            <w:r w:rsidR="00C052A0" w:rsidRPr="007D2212">
              <w:rPr>
                <w:rFonts w:ascii="Arial" w:eastAsia="Times New Roman" w:hAnsi="Arial" w:cs="Arial"/>
                <w:color w:val="000000"/>
                <w:sz w:val="18"/>
                <w:szCs w:val="18"/>
              </w:rPr>
              <w:t>)</w:t>
            </w:r>
            <w:r w:rsidRPr="007D2212">
              <w:rPr>
                <w:rFonts w:ascii="Arial" w:eastAsia="Times New Roman" w:hAnsi="Arial" w:cs="Arial"/>
                <w:color w:val="000000"/>
                <w:sz w:val="18"/>
                <w:szCs w:val="18"/>
              </w:rPr>
              <w:t>)</w:t>
            </w:r>
          </w:p>
        </w:tc>
        <w:tc>
          <w:tcPr>
            <w:tcW w:w="2120" w:type="dxa"/>
            <w:tcBorders>
              <w:top w:val="nil"/>
              <w:left w:val="nil"/>
              <w:bottom w:val="nil"/>
              <w:right w:val="single" w:sz="8" w:space="0" w:color="auto"/>
            </w:tcBorders>
            <w:shd w:val="clear" w:color="auto" w:fill="auto"/>
            <w:vAlign w:val="center"/>
            <w:hideMark/>
          </w:tcPr>
          <w:p w14:paraId="204A0B76"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[206]</w:t>
            </w:r>
            <w:r w:rsidRPr="007D2212">
              <w:rPr>
                <w:rFonts w:ascii="Arial" w:eastAsia="Times New Roman" w:hAnsi="Arial" w:cs="Arial"/>
                <w:color w:val="000000"/>
                <w:sz w:val="18"/>
                <w:szCs w:val="18"/>
              </w:rPr>
              <w:t>Medium-sized, circular (Figure 11(f))</w:t>
            </w:r>
          </w:p>
        </w:tc>
      </w:tr>
      <w:tr w:rsidR="00612969" w:rsidRPr="007D2212" w14:paraId="138D97E0" w14:textId="77777777" w:rsidTr="00A4522D">
        <w:trPr>
          <w:trHeight w:val="300"/>
        </w:trPr>
        <w:tc>
          <w:tcPr>
            <w:tcW w:w="1360" w:type="dxa"/>
            <w:tcBorders>
              <w:top w:val="nil"/>
              <w:left w:val="single" w:sz="8" w:space="0" w:color="auto"/>
              <w:bottom w:val="single" w:sz="8" w:space="0" w:color="auto"/>
              <w:right w:val="nil"/>
            </w:tcBorders>
            <w:shd w:val="clear" w:color="auto" w:fill="BFBFBF" w:themeFill="background1" w:themeFillShade="BF"/>
            <w:vAlign w:val="center"/>
            <w:hideMark/>
          </w:tcPr>
          <w:p w14:paraId="348ED500" w14:textId="77777777" w:rsidR="00612969" w:rsidRPr="007D2212" w:rsidRDefault="00E97743">
            <w:pPr>
              <w:jc w:val="left"/>
              <w:rPr>
                <w:rFonts w:ascii="Arial" w:eastAsia="Times New Roman" w:hAnsi="Arial" w:cs="Arial"/>
                <w:b/>
                <w:bCs/>
                <w:color w:val="000000"/>
                <w:sz w:val="18"/>
                <w:szCs w:val="18"/>
              </w:rPr>
            </w:pPr>
            <w:r w:rsidRPr="007D2212">
              <w:rPr>
                <w:rStyle w:val="PleaseReviewParagraphId"/>
              </w:rPr>
              <w:t>[207]</w:t>
            </w:r>
            <w:r w:rsidRPr="007D2212">
              <w:rPr>
                <w:rFonts w:ascii="Arial" w:eastAsia="Times New Roman" w:hAnsi="Arial" w:cs="Arial"/>
                <w:b/>
                <w:bCs/>
                <w:color w:val="000000"/>
                <w:sz w:val="18"/>
                <w:szCs w:val="18"/>
              </w:rPr>
              <w:t>Abdomen</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668E23C2"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[208]</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75FEC39B"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[209]</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49A3145C"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[210]</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1050DB6D"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[211]</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08FE9B73"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[212]</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2A9E3CC2"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[213]</w:t>
            </w:r>
            <w:r w:rsidRPr="007D2212">
              <w:rPr>
                <w:rFonts w:ascii="Arial" w:eastAsia="Times New Roman" w:hAnsi="Arial" w:cs="Arial"/>
                <w:color w:val="000000"/>
                <w:sz w:val="18"/>
                <w:szCs w:val="18"/>
              </w:rPr>
              <w:t> </w:t>
            </w:r>
          </w:p>
        </w:tc>
      </w:tr>
      <w:tr w:rsidR="00612969" w:rsidRPr="007D2212" w14:paraId="7BB858E7" w14:textId="77777777">
        <w:trPr>
          <w:trHeight w:val="924"/>
        </w:trPr>
        <w:tc>
          <w:tcPr>
            <w:tcW w:w="1360" w:type="dxa"/>
            <w:tcBorders>
              <w:top w:val="nil"/>
              <w:left w:val="single" w:sz="8" w:space="0" w:color="auto"/>
              <w:bottom w:val="single" w:sz="8" w:space="0" w:color="auto"/>
              <w:right w:val="single" w:sz="8" w:space="0" w:color="auto"/>
            </w:tcBorders>
            <w:shd w:val="clear" w:color="auto" w:fill="auto"/>
            <w:vAlign w:val="center"/>
            <w:hideMark/>
          </w:tcPr>
          <w:p w14:paraId="3A082519"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[214]</w:t>
            </w:r>
            <w:r w:rsidRPr="007D2212">
              <w:rPr>
                <w:rFonts w:ascii="Arial" w:eastAsia="Times New Roman" w:hAnsi="Arial" w:cs="Arial"/>
                <w:color w:val="000000"/>
                <w:sz w:val="18"/>
                <w:szCs w:val="18"/>
              </w:rPr>
              <w:t>Tergites 3–5 (Figures 6(a), 16, 17)</w:t>
            </w:r>
          </w:p>
        </w:tc>
        <w:tc>
          <w:tcPr>
            <w:tcW w:w="2120" w:type="dxa"/>
            <w:tcBorders>
              <w:top w:val="nil"/>
              <w:left w:val="nil"/>
              <w:bottom w:val="single" w:sz="8" w:space="0" w:color="auto"/>
              <w:right w:val="single" w:sz="8" w:space="0" w:color="auto"/>
            </w:tcBorders>
            <w:shd w:val="clear" w:color="auto" w:fill="auto"/>
            <w:vAlign w:val="center"/>
            <w:hideMark/>
          </w:tcPr>
          <w:p w14:paraId="6583F6D0"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[215]</w:t>
            </w:r>
            <w:r w:rsidRPr="007D2212">
              <w:rPr>
                <w:rFonts w:ascii="Arial" w:eastAsia="Times New Roman" w:hAnsi="Arial" w:cs="Arial"/>
                <w:color w:val="000000"/>
                <w:sz w:val="18"/>
                <w:szCs w:val="18"/>
              </w:rPr>
              <w:t>With medium-width medial longitudinal black stripe (Figures 16(a) and 17(a))</w:t>
            </w:r>
          </w:p>
        </w:tc>
        <w:tc>
          <w:tcPr>
            <w:tcW w:w="2120" w:type="dxa"/>
            <w:tcBorders>
              <w:top w:val="nil"/>
              <w:left w:val="nil"/>
              <w:bottom w:val="single" w:sz="8" w:space="0" w:color="auto"/>
              <w:right w:val="single" w:sz="8" w:space="0" w:color="auto"/>
            </w:tcBorders>
            <w:shd w:val="clear" w:color="auto" w:fill="auto"/>
            <w:vAlign w:val="center"/>
            <w:hideMark/>
          </w:tcPr>
          <w:p w14:paraId="12A07563"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[216]</w:t>
            </w:r>
            <w:r w:rsidRPr="007D2212">
              <w:rPr>
                <w:rFonts w:ascii="Arial" w:eastAsia="Times New Roman" w:hAnsi="Arial" w:cs="Arial"/>
                <w:color w:val="000000"/>
                <w:sz w:val="18"/>
                <w:szCs w:val="18"/>
              </w:rPr>
              <w:t>With narrow medial longitudinal black stripe (Figures 16(b) and 17(b))</w:t>
            </w:r>
          </w:p>
        </w:tc>
        <w:tc>
          <w:tcPr>
            <w:tcW w:w="2120" w:type="dxa"/>
            <w:tcBorders>
              <w:top w:val="nil"/>
              <w:left w:val="nil"/>
              <w:bottom w:val="single" w:sz="8" w:space="0" w:color="auto"/>
              <w:right w:val="single" w:sz="8" w:space="0" w:color="auto"/>
            </w:tcBorders>
            <w:shd w:val="clear" w:color="auto" w:fill="auto"/>
            <w:vAlign w:val="center"/>
            <w:hideMark/>
          </w:tcPr>
          <w:p w14:paraId="30C4190E"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[217]</w:t>
            </w:r>
            <w:r w:rsidRPr="007D2212">
              <w:rPr>
                <w:rFonts w:ascii="Arial" w:eastAsia="Times New Roman" w:hAnsi="Arial" w:cs="Arial"/>
                <w:color w:val="000000"/>
                <w:sz w:val="18"/>
                <w:szCs w:val="18"/>
              </w:rPr>
              <w:t>With narrow to medium-width medial longitudinal black stripe (Figures 16(c) and 17(c))</w:t>
            </w:r>
          </w:p>
        </w:tc>
        <w:tc>
          <w:tcPr>
            <w:tcW w:w="2120" w:type="dxa"/>
            <w:tcBorders>
              <w:top w:val="nil"/>
              <w:left w:val="nil"/>
              <w:bottom w:val="single" w:sz="8" w:space="0" w:color="auto"/>
              <w:right w:val="single" w:sz="8" w:space="0" w:color="auto"/>
            </w:tcBorders>
            <w:shd w:val="clear" w:color="auto" w:fill="auto"/>
            <w:vAlign w:val="center"/>
            <w:hideMark/>
          </w:tcPr>
          <w:p w14:paraId="6E01E980"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[218]</w:t>
            </w:r>
            <w:r w:rsidRPr="007D2212">
              <w:rPr>
                <w:rFonts w:ascii="Arial" w:eastAsia="Times New Roman" w:hAnsi="Arial" w:cs="Arial"/>
                <w:color w:val="000000"/>
                <w:sz w:val="18"/>
                <w:szCs w:val="18"/>
              </w:rPr>
              <w:t>With very narrow medial longitudinal black stripe (Figures 16(d) and 17(d))</w:t>
            </w:r>
          </w:p>
        </w:tc>
        <w:tc>
          <w:tcPr>
            <w:tcW w:w="2120" w:type="dxa"/>
            <w:tcBorders>
              <w:top w:val="nil"/>
              <w:left w:val="nil"/>
              <w:bottom w:val="single" w:sz="8" w:space="0" w:color="auto"/>
              <w:right w:val="single" w:sz="8" w:space="0" w:color="auto"/>
            </w:tcBorders>
            <w:shd w:val="clear" w:color="auto" w:fill="auto"/>
            <w:vAlign w:val="center"/>
            <w:hideMark/>
          </w:tcPr>
          <w:p w14:paraId="5A67D546"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[219]</w:t>
            </w:r>
            <w:r w:rsidRPr="007D2212">
              <w:rPr>
                <w:rFonts w:ascii="Arial" w:eastAsia="Times New Roman" w:hAnsi="Arial" w:cs="Arial"/>
                <w:color w:val="000000"/>
                <w:sz w:val="18"/>
                <w:szCs w:val="18"/>
              </w:rPr>
              <w:t>With very broad medial longitudinal black stripe (Figures 16(e) and 17(e))</w:t>
            </w:r>
          </w:p>
        </w:tc>
        <w:tc>
          <w:tcPr>
            <w:tcW w:w="2120" w:type="dxa"/>
            <w:tcBorders>
              <w:top w:val="nil"/>
              <w:left w:val="nil"/>
              <w:bottom w:val="single" w:sz="8" w:space="0" w:color="auto"/>
              <w:right w:val="single" w:sz="8" w:space="0" w:color="auto"/>
            </w:tcBorders>
            <w:shd w:val="clear" w:color="auto" w:fill="auto"/>
            <w:vAlign w:val="center"/>
            <w:hideMark/>
          </w:tcPr>
          <w:p w14:paraId="5C6DCF58"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[220]</w:t>
            </w:r>
            <w:r w:rsidRPr="007D2212">
              <w:rPr>
                <w:rFonts w:ascii="Arial" w:eastAsia="Times New Roman" w:hAnsi="Arial" w:cs="Arial"/>
                <w:color w:val="000000"/>
                <w:sz w:val="18"/>
                <w:szCs w:val="18"/>
              </w:rPr>
              <w:t>With narrow to medium-width medial longitudinal black stripe (Figures 16(f) and 17(f))</w:t>
            </w:r>
          </w:p>
        </w:tc>
      </w:tr>
      <w:tr w:rsidR="00612969" w:rsidRPr="007D2212" w14:paraId="105808F4" w14:textId="77777777">
        <w:trPr>
          <w:trHeight w:val="1380"/>
        </w:trPr>
        <w:tc>
          <w:tcPr>
            <w:tcW w:w="1360" w:type="dxa"/>
            <w:tcBorders>
              <w:top w:val="nil"/>
              <w:left w:val="single" w:sz="8" w:space="0" w:color="auto"/>
              <w:bottom w:val="single" w:sz="8" w:space="0" w:color="auto"/>
              <w:right w:val="single" w:sz="8" w:space="0" w:color="auto"/>
            </w:tcBorders>
            <w:shd w:val="clear" w:color="auto" w:fill="auto"/>
            <w:vAlign w:val="center"/>
            <w:hideMark/>
          </w:tcPr>
          <w:p w14:paraId="6A37925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[221]</w:t>
            </w:r>
            <w:r w:rsidRPr="007D2212">
              <w:rPr>
                <w:rFonts w:ascii="Arial" w:eastAsia="Times New Roman" w:hAnsi="Arial" w:cs="Arial"/>
                <w:color w:val="000000"/>
                <w:sz w:val="18"/>
                <w:szCs w:val="18"/>
              </w:rPr>
              <w:t>Tergite 3</w:t>
            </w:r>
          </w:p>
        </w:tc>
        <w:tc>
          <w:tcPr>
            <w:tcW w:w="2120" w:type="dxa"/>
            <w:tcBorders>
              <w:top w:val="nil"/>
              <w:left w:val="nil"/>
              <w:bottom w:val="single" w:sz="8" w:space="0" w:color="auto"/>
              <w:right w:val="single" w:sz="8" w:space="0" w:color="auto"/>
            </w:tcBorders>
            <w:shd w:val="clear" w:color="auto" w:fill="auto"/>
            <w:vAlign w:val="center"/>
            <w:hideMark/>
          </w:tcPr>
          <w:p w14:paraId="70F73B79"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[222]</w:t>
            </w:r>
            <w:r w:rsidRPr="007D2212">
              <w:rPr>
                <w:rFonts w:ascii="Arial" w:eastAsia="Times New Roman" w:hAnsi="Arial" w:cs="Arial"/>
                <w:color w:val="000000"/>
                <w:sz w:val="18"/>
                <w:szCs w:val="18"/>
              </w:rPr>
              <w:t>With a narrow transverse black band across anterior margin (constituting a “T” pattern) widening to cover lateral margins</w:t>
            </w:r>
          </w:p>
        </w:tc>
        <w:tc>
          <w:tcPr>
            <w:tcW w:w="2120" w:type="dxa"/>
            <w:tcBorders>
              <w:top w:val="nil"/>
              <w:left w:val="nil"/>
              <w:bottom w:val="single" w:sz="8" w:space="0" w:color="auto"/>
              <w:right w:val="single" w:sz="8" w:space="0" w:color="auto"/>
            </w:tcBorders>
            <w:shd w:val="clear" w:color="auto" w:fill="auto"/>
            <w:vAlign w:val="center"/>
            <w:hideMark/>
          </w:tcPr>
          <w:p w14:paraId="57B17F8D"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[223]</w:t>
            </w:r>
            <w:r w:rsidRPr="007D2212">
              <w:rPr>
                <w:rFonts w:ascii="Arial" w:eastAsia="Times New Roman" w:hAnsi="Arial" w:cs="Arial"/>
                <w:color w:val="000000"/>
                <w:sz w:val="18"/>
                <w:szCs w:val="18"/>
              </w:rPr>
              <w:t xml:space="preserve">With a broad transverse black band across anterior third to half </w:t>
            </w:r>
          </w:p>
        </w:tc>
        <w:tc>
          <w:tcPr>
            <w:tcW w:w="2120" w:type="dxa"/>
            <w:tcBorders>
              <w:top w:val="nil"/>
              <w:left w:val="nil"/>
              <w:bottom w:val="single" w:sz="8" w:space="0" w:color="auto"/>
              <w:right w:val="single" w:sz="8" w:space="0" w:color="auto"/>
            </w:tcBorders>
            <w:shd w:val="clear" w:color="auto" w:fill="auto"/>
            <w:vAlign w:val="center"/>
            <w:hideMark/>
          </w:tcPr>
          <w:p w14:paraId="4F7721F5"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[224]</w:t>
            </w:r>
            <w:r w:rsidRPr="007D2212">
              <w:rPr>
                <w:rFonts w:ascii="Arial" w:eastAsia="Times New Roman" w:hAnsi="Arial" w:cs="Arial"/>
                <w:color w:val="000000"/>
                <w:sz w:val="18"/>
                <w:szCs w:val="18"/>
              </w:rPr>
              <w:t>Exhibits variations from transverse black band across anterior margin (constituting a “T” pattern) to broad lateral bands</w:t>
            </w:r>
          </w:p>
        </w:tc>
        <w:tc>
          <w:tcPr>
            <w:tcW w:w="2120" w:type="dxa"/>
            <w:tcBorders>
              <w:top w:val="nil"/>
              <w:left w:val="nil"/>
              <w:bottom w:val="single" w:sz="8" w:space="0" w:color="auto"/>
              <w:right w:val="single" w:sz="8" w:space="0" w:color="auto"/>
            </w:tcBorders>
            <w:shd w:val="clear" w:color="auto" w:fill="auto"/>
            <w:vAlign w:val="center"/>
            <w:hideMark/>
          </w:tcPr>
          <w:p w14:paraId="285E96C3"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[225]</w:t>
            </w:r>
            <w:r w:rsidRPr="007D2212">
              <w:rPr>
                <w:rFonts w:ascii="Arial" w:eastAsia="Times New Roman" w:hAnsi="Arial" w:cs="Arial"/>
                <w:color w:val="000000"/>
                <w:sz w:val="18"/>
                <w:szCs w:val="18"/>
              </w:rPr>
              <w:t>With a narrow transverse black band across anterior margin (constituting a “T” pattern)</w:t>
            </w:r>
          </w:p>
        </w:tc>
        <w:tc>
          <w:tcPr>
            <w:tcW w:w="2120" w:type="dxa"/>
            <w:tcBorders>
              <w:top w:val="nil"/>
              <w:left w:val="nil"/>
              <w:bottom w:val="single" w:sz="8" w:space="0" w:color="auto"/>
              <w:right w:val="single" w:sz="8" w:space="0" w:color="auto"/>
            </w:tcBorders>
            <w:shd w:val="clear" w:color="auto" w:fill="auto"/>
            <w:vAlign w:val="center"/>
            <w:hideMark/>
          </w:tcPr>
          <w:p w14:paraId="4FCA79C0" w14:textId="5619EB7E" w:rsidR="00612969" w:rsidRPr="007D2212" w:rsidRDefault="00E97743">
            <w:pPr>
              <w:jc w:val="left"/>
              <w:rPr>
                <w:rFonts w:ascii="Arial" w:eastAsia="Times New Roman" w:hAnsi="Arial" w:cs="Arial"/>
                <w:color w:val="000000"/>
                <w:sz w:val="18"/>
                <w:szCs w:val="18"/>
              </w:rPr>
            </w:pPr>
            <w:r w:rsidRPr="007D2212">
              <w:rPr>
                <w:rStyle w:val="PleaseReviewParagraphId"/>
              </w:rPr>
              <w:t>[226]</w:t>
            </w:r>
            <w:r w:rsidRPr="007D2212">
              <w:rPr>
                <w:rFonts w:ascii="Arial" w:eastAsia="Times New Roman" w:hAnsi="Arial" w:cs="Arial"/>
                <w:color w:val="000000"/>
                <w:sz w:val="18"/>
                <w:szCs w:val="18"/>
              </w:rPr>
              <w:t>With a narrow transverse black band across anterior margin widening to cover lateral margins</w:t>
            </w:r>
          </w:p>
        </w:tc>
        <w:tc>
          <w:tcPr>
            <w:tcW w:w="2120" w:type="dxa"/>
            <w:tcBorders>
              <w:top w:val="nil"/>
              <w:left w:val="nil"/>
              <w:bottom w:val="single" w:sz="8" w:space="0" w:color="auto"/>
              <w:right w:val="single" w:sz="8" w:space="0" w:color="auto"/>
            </w:tcBorders>
            <w:shd w:val="clear" w:color="auto" w:fill="auto"/>
            <w:vAlign w:val="center"/>
            <w:hideMark/>
          </w:tcPr>
          <w:p w14:paraId="25AD9C75"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[227]</w:t>
            </w:r>
            <w:r w:rsidRPr="007D2212">
              <w:rPr>
                <w:rFonts w:ascii="Arial" w:eastAsia="Times New Roman" w:hAnsi="Arial" w:cs="Arial"/>
                <w:color w:val="000000"/>
                <w:sz w:val="18"/>
                <w:szCs w:val="18"/>
              </w:rPr>
              <w:t>With a narrow to medium-width transverse black band widening to cover outer third of lateral margins</w:t>
            </w:r>
          </w:p>
        </w:tc>
      </w:tr>
      <w:tr w:rsidR="00612969" w:rsidRPr="007D2212" w14:paraId="4F49B887" w14:textId="77777777">
        <w:trPr>
          <w:trHeight w:val="1152"/>
        </w:trPr>
        <w:tc>
          <w:tcPr>
            <w:tcW w:w="1360" w:type="dxa"/>
            <w:tcBorders>
              <w:top w:val="nil"/>
              <w:left w:val="single" w:sz="8" w:space="0" w:color="auto"/>
              <w:bottom w:val="single" w:sz="8" w:space="0" w:color="auto"/>
              <w:right w:val="single" w:sz="8" w:space="0" w:color="auto"/>
            </w:tcBorders>
            <w:shd w:val="clear" w:color="auto" w:fill="auto"/>
            <w:vAlign w:val="center"/>
            <w:hideMark/>
          </w:tcPr>
          <w:p w14:paraId="1C5C20F4"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[228]</w:t>
            </w:r>
            <w:r w:rsidRPr="007D2212">
              <w:rPr>
                <w:rFonts w:ascii="Arial" w:eastAsia="Times New Roman" w:hAnsi="Arial" w:cs="Arial"/>
                <w:color w:val="000000"/>
                <w:sz w:val="18"/>
                <w:szCs w:val="18"/>
              </w:rPr>
              <w:t>Tergite 4</w:t>
            </w:r>
          </w:p>
        </w:tc>
        <w:tc>
          <w:tcPr>
            <w:tcW w:w="2120" w:type="dxa"/>
            <w:tcBorders>
              <w:top w:val="nil"/>
              <w:left w:val="nil"/>
              <w:bottom w:val="single" w:sz="8" w:space="0" w:color="auto"/>
              <w:right w:val="single" w:sz="8" w:space="0" w:color="auto"/>
            </w:tcBorders>
            <w:shd w:val="clear" w:color="auto" w:fill="auto"/>
            <w:vAlign w:val="center"/>
            <w:hideMark/>
          </w:tcPr>
          <w:p w14:paraId="1568FFD8"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[229]</w:t>
            </w:r>
            <w:r w:rsidRPr="007D2212">
              <w:rPr>
                <w:rFonts w:ascii="Arial" w:eastAsia="Times New Roman" w:hAnsi="Arial" w:cs="Arial"/>
                <w:color w:val="000000"/>
                <w:sz w:val="18"/>
                <w:szCs w:val="18"/>
              </w:rPr>
              <w:t>With rectangular anterolateral (occasionally triangular) black markings</w:t>
            </w:r>
          </w:p>
        </w:tc>
        <w:tc>
          <w:tcPr>
            <w:tcW w:w="2120" w:type="dxa"/>
            <w:tcBorders>
              <w:top w:val="nil"/>
              <w:left w:val="nil"/>
              <w:bottom w:val="single" w:sz="8" w:space="0" w:color="auto"/>
              <w:right w:val="single" w:sz="8" w:space="0" w:color="auto"/>
            </w:tcBorders>
            <w:shd w:val="clear" w:color="auto" w:fill="auto"/>
            <w:vAlign w:val="center"/>
            <w:hideMark/>
          </w:tcPr>
          <w:p w14:paraId="782BB4B7"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[230]</w:t>
            </w:r>
            <w:r w:rsidRPr="007D2212">
              <w:rPr>
                <w:rFonts w:ascii="Arial" w:eastAsia="Times New Roman" w:hAnsi="Arial" w:cs="Arial"/>
                <w:color w:val="000000"/>
                <w:sz w:val="18"/>
                <w:szCs w:val="18"/>
              </w:rPr>
              <w:t xml:space="preserve">With broad lateral black bands </w:t>
            </w:r>
          </w:p>
        </w:tc>
        <w:tc>
          <w:tcPr>
            <w:tcW w:w="2120" w:type="dxa"/>
            <w:tcBorders>
              <w:top w:val="nil"/>
              <w:left w:val="nil"/>
              <w:bottom w:val="single" w:sz="8" w:space="0" w:color="auto"/>
              <w:right w:val="single" w:sz="8" w:space="0" w:color="auto"/>
            </w:tcBorders>
            <w:shd w:val="clear" w:color="auto" w:fill="auto"/>
            <w:vAlign w:val="center"/>
            <w:hideMark/>
          </w:tcPr>
          <w:p w14:paraId="3FC0D9F9" w14:textId="7A173C5D" w:rsidR="00612969" w:rsidRPr="007D2212" w:rsidRDefault="00E97743">
            <w:pPr>
              <w:jc w:val="left"/>
              <w:rPr>
                <w:rFonts w:ascii="Arial" w:eastAsia="Times New Roman" w:hAnsi="Arial" w:cs="Arial"/>
                <w:color w:val="000000"/>
                <w:sz w:val="18"/>
                <w:szCs w:val="18"/>
              </w:rPr>
            </w:pPr>
            <w:r w:rsidRPr="007D2212">
              <w:rPr>
                <w:rStyle w:val="PleaseReviewParagraphId"/>
              </w:rPr>
              <w:t>[231]</w:t>
            </w:r>
            <w:r w:rsidRPr="007D2212">
              <w:rPr>
                <w:rFonts w:ascii="Arial" w:eastAsia="Times New Roman" w:hAnsi="Arial" w:cs="Arial"/>
                <w:color w:val="000000"/>
                <w:sz w:val="18"/>
                <w:szCs w:val="18"/>
              </w:rPr>
              <w:t>Without any marking</w:t>
            </w:r>
            <w:r w:rsidR="00556BAB">
              <w:rPr>
                <w:rFonts w:ascii="Arial" w:eastAsia="Times New Roman" w:hAnsi="Arial" w:cs="Arial"/>
                <w:color w:val="000000"/>
                <w:sz w:val="18"/>
                <w:szCs w:val="18"/>
              </w:rPr>
              <w:t>s</w:t>
            </w:r>
            <w:r w:rsidRPr="007D2212">
              <w:rPr>
                <w:rFonts w:ascii="Arial" w:eastAsia="Times New Roman" w:hAnsi="Arial" w:cs="Arial"/>
                <w:color w:val="000000"/>
                <w:sz w:val="18"/>
                <w:szCs w:val="18"/>
              </w:rPr>
              <w:t xml:space="preserve"> or with anterolateral black markings (occasionally rectangular in shape)</w:t>
            </w:r>
          </w:p>
        </w:tc>
        <w:tc>
          <w:tcPr>
            <w:tcW w:w="2120" w:type="dxa"/>
            <w:tcBorders>
              <w:top w:val="nil"/>
              <w:left w:val="nil"/>
              <w:bottom w:val="single" w:sz="8" w:space="0" w:color="auto"/>
              <w:right w:val="single" w:sz="8" w:space="0" w:color="auto"/>
            </w:tcBorders>
            <w:shd w:val="clear" w:color="auto" w:fill="auto"/>
            <w:vAlign w:val="center"/>
            <w:hideMark/>
          </w:tcPr>
          <w:p w14:paraId="64770B48" w14:textId="6C918AEC" w:rsidR="00612969" w:rsidRPr="007D2212" w:rsidRDefault="00E97743">
            <w:pPr>
              <w:jc w:val="left"/>
              <w:rPr>
                <w:rFonts w:ascii="Arial" w:eastAsia="Times New Roman" w:hAnsi="Arial" w:cs="Arial"/>
                <w:color w:val="000000"/>
                <w:sz w:val="18"/>
                <w:szCs w:val="18"/>
              </w:rPr>
            </w:pPr>
            <w:r w:rsidRPr="007D2212">
              <w:rPr>
                <w:rStyle w:val="PleaseReviewParagraphId"/>
              </w:rPr>
              <w:t>[232]</w:t>
            </w:r>
            <w:r w:rsidRPr="007D2212">
              <w:rPr>
                <w:rFonts w:ascii="Arial" w:eastAsia="Times New Roman" w:hAnsi="Arial" w:cs="Arial"/>
                <w:color w:val="000000"/>
                <w:sz w:val="18"/>
                <w:szCs w:val="18"/>
              </w:rPr>
              <w:t>With very narrow anterolateral black marking</w:t>
            </w:r>
            <w:r w:rsidR="00556BAB">
              <w:rPr>
                <w:rFonts w:ascii="Arial" w:eastAsia="Times New Roman" w:hAnsi="Arial" w:cs="Arial"/>
                <w:color w:val="000000"/>
                <w:sz w:val="18"/>
                <w:szCs w:val="18"/>
              </w:rPr>
              <w:t>s</w:t>
            </w:r>
          </w:p>
        </w:tc>
        <w:tc>
          <w:tcPr>
            <w:tcW w:w="2120" w:type="dxa"/>
            <w:tcBorders>
              <w:top w:val="nil"/>
              <w:left w:val="nil"/>
              <w:bottom w:val="single" w:sz="8" w:space="0" w:color="auto"/>
              <w:right w:val="single" w:sz="8" w:space="0" w:color="auto"/>
            </w:tcBorders>
            <w:shd w:val="clear" w:color="auto" w:fill="auto"/>
            <w:vAlign w:val="center"/>
            <w:hideMark/>
          </w:tcPr>
          <w:p w14:paraId="45F8C397"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[233]</w:t>
            </w:r>
            <w:r w:rsidRPr="007D2212">
              <w:rPr>
                <w:rFonts w:ascii="Arial" w:eastAsia="Times New Roman" w:hAnsi="Arial" w:cs="Arial"/>
                <w:color w:val="000000"/>
                <w:sz w:val="18"/>
                <w:szCs w:val="18"/>
              </w:rPr>
              <w:t>Exhibits variations from anterolateral black markings to broad lateral bands</w:t>
            </w:r>
          </w:p>
        </w:tc>
        <w:tc>
          <w:tcPr>
            <w:tcW w:w="2120" w:type="dxa"/>
            <w:tcBorders>
              <w:top w:val="nil"/>
              <w:left w:val="nil"/>
              <w:bottom w:val="single" w:sz="8" w:space="0" w:color="auto"/>
              <w:right w:val="single" w:sz="8" w:space="0" w:color="auto"/>
            </w:tcBorders>
            <w:shd w:val="clear" w:color="auto" w:fill="auto"/>
            <w:vAlign w:val="center"/>
            <w:hideMark/>
          </w:tcPr>
          <w:p w14:paraId="73744A0D"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[234]</w:t>
            </w:r>
            <w:r w:rsidRPr="007D2212">
              <w:rPr>
                <w:rFonts w:ascii="Arial" w:eastAsia="Times New Roman" w:hAnsi="Arial" w:cs="Arial"/>
                <w:color w:val="000000"/>
                <w:sz w:val="18"/>
                <w:szCs w:val="18"/>
              </w:rPr>
              <w:t>With a narrow to medium-width transverse black band widening to cover outer third of lateral margins</w:t>
            </w:r>
          </w:p>
        </w:tc>
      </w:tr>
      <w:tr w:rsidR="00612969" w:rsidRPr="007D2212" w14:paraId="3EFE7019" w14:textId="77777777">
        <w:trPr>
          <w:trHeight w:val="696"/>
        </w:trPr>
        <w:tc>
          <w:tcPr>
            <w:tcW w:w="1360" w:type="dxa"/>
            <w:tcBorders>
              <w:top w:val="nil"/>
              <w:left w:val="single" w:sz="8" w:space="0" w:color="auto"/>
              <w:bottom w:val="single" w:sz="8" w:space="0" w:color="auto"/>
              <w:right w:val="single" w:sz="8" w:space="0" w:color="auto"/>
            </w:tcBorders>
            <w:shd w:val="clear" w:color="auto" w:fill="auto"/>
            <w:vAlign w:val="center"/>
            <w:hideMark/>
          </w:tcPr>
          <w:p w14:paraId="5A38EAC8"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[235]</w:t>
            </w:r>
            <w:r w:rsidRPr="007D2212">
              <w:rPr>
                <w:rFonts w:ascii="Arial" w:eastAsia="Times New Roman" w:hAnsi="Arial" w:cs="Arial"/>
                <w:color w:val="000000"/>
                <w:sz w:val="18"/>
                <w:szCs w:val="18"/>
              </w:rPr>
              <w:t>Tergite 5</w:t>
            </w:r>
          </w:p>
        </w:tc>
        <w:tc>
          <w:tcPr>
            <w:tcW w:w="2120" w:type="dxa"/>
            <w:tcBorders>
              <w:top w:val="nil"/>
              <w:left w:val="nil"/>
              <w:bottom w:val="single" w:sz="8" w:space="0" w:color="auto"/>
              <w:right w:val="single" w:sz="8" w:space="0" w:color="auto"/>
            </w:tcBorders>
            <w:shd w:val="clear" w:color="auto" w:fill="auto"/>
            <w:vAlign w:val="center"/>
            <w:hideMark/>
          </w:tcPr>
          <w:p w14:paraId="5493EF65"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[236]</w:t>
            </w:r>
            <w:r w:rsidRPr="007D2212">
              <w:rPr>
                <w:rFonts w:ascii="Arial" w:eastAsia="Times New Roman" w:hAnsi="Arial" w:cs="Arial"/>
                <w:color w:val="000000"/>
                <w:sz w:val="18"/>
                <w:szCs w:val="18"/>
              </w:rPr>
              <w:t>With anterolateral black markings</w:t>
            </w:r>
          </w:p>
        </w:tc>
        <w:tc>
          <w:tcPr>
            <w:tcW w:w="2120" w:type="dxa"/>
            <w:tcBorders>
              <w:top w:val="nil"/>
              <w:left w:val="nil"/>
              <w:bottom w:val="single" w:sz="8" w:space="0" w:color="auto"/>
              <w:right w:val="single" w:sz="8" w:space="0" w:color="auto"/>
            </w:tcBorders>
            <w:shd w:val="clear" w:color="auto" w:fill="auto"/>
            <w:vAlign w:val="center"/>
            <w:hideMark/>
          </w:tcPr>
          <w:p w14:paraId="4A53CF61"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[237]</w:t>
            </w:r>
            <w:r w:rsidRPr="007D2212">
              <w:rPr>
                <w:rFonts w:ascii="Arial" w:eastAsia="Times New Roman" w:hAnsi="Arial" w:cs="Arial"/>
                <w:color w:val="000000"/>
                <w:sz w:val="18"/>
                <w:szCs w:val="18"/>
              </w:rPr>
              <w:t>With broad lateral black bands</w:t>
            </w:r>
          </w:p>
        </w:tc>
        <w:tc>
          <w:tcPr>
            <w:tcW w:w="2120" w:type="dxa"/>
            <w:tcBorders>
              <w:top w:val="nil"/>
              <w:left w:val="nil"/>
              <w:bottom w:val="single" w:sz="8" w:space="0" w:color="auto"/>
              <w:right w:val="single" w:sz="8" w:space="0" w:color="auto"/>
            </w:tcBorders>
            <w:shd w:val="clear" w:color="auto" w:fill="auto"/>
            <w:vAlign w:val="center"/>
            <w:hideMark/>
          </w:tcPr>
          <w:p w14:paraId="0C47A657" w14:textId="2D165F4F" w:rsidR="00612969" w:rsidRPr="007D2212" w:rsidRDefault="00E97743">
            <w:pPr>
              <w:jc w:val="left"/>
              <w:rPr>
                <w:rFonts w:ascii="Arial" w:eastAsia="Times New Roman" w:hAnsi="Arial" w:cs="Arial"/>
                <w:color w:val="000000"/>
                <w:sz w:val="18"/>
                <w:szCs w:val="18"/>
              </w:rPr>
            </w:pPr>
            <w:r w:rsidRPr="007D2212">
              <w:rPr>
                <w:rStyle w:val="PleaseReviewParagraphId"/>
              </w:rPr>
              <w:t>[238]</w:t>
            </w:r>
            <w:r w:rsidRPr="007D2212">
              <w:rPr>
                <w:rFonts w:ascii="Arial" w:eastAsia="Times New Roman" w:hAnsi="Arial" w:cs="Arial"/>
                <w:color w:val="000000"/>
                <w:sz w:val="18"/>
                <w:szCs w:val="18"/>
              </w:rPr>
              <w:t>Without any marking</w:t>
            </w:r>
            <w:r w:rsidR="00556BAB">
              <w:rPr>
                <w:rFonts w:ascii="Arial" w:eastAsia="Times New Roman" w:hAnsi="Arial" w:cs="Arial"/>
                <w:color w:val="000000"/>
                <w:sz w:val="18"/>
                <w:szCs w:val="18"/>
              </w:rPr>
              <w:t>s</w:t>
            </w:r>
            <w:r w:rsidRPr="007D2212">
              <w:rPr>
                <w:rFonts w:ascii="Arial" w:eastAsia="Times New Roman" w:hAnsi="Arial" w:cs="Arial"/>
                <w:color w:val="000000"/>
                <w:sz w:val="18"/>
                <w:szCs w:val="18"/>
              </w:rPr>
              <w:t xml:space="preserve"> or with anterolateral black marking</w:t>
            </w:r>
            <w:r w:rsidR="00556BAB">
              <w:rPr>
                <w:rFonts w:ascii="Arial" w:eastAsia="Times New Roman" w:hAnsi="Arial" w:cs="Arial"/>
                <w:color w:val="000000"/>
                <w:sz w:val="18"/>
                <w:szCs w:val="18"/>
              </w:rPr>
              <w:t>s</w:t>
            </w:r>
          </w:p>
        </w:tc>
        <w:tc>
          <w:tcPr>
            <w:tcW w:w="2120" w:type="dxa"/>
            <w:tcBorders>
              <w:top w:val="nil"/>
              <w:left w:val="nil"/>
              <w:bottom w:val="single" w:sz="8" w:space="0" w:color="auto"/>
              <w:right w:val="single" w:sz="8" w:space="0" w:color="auto"/>
            </w:tcBorders>
            <w:shd w:val="clear" w:color="auto" w:fill="auto"/>
            <w:vAlign w:val="center"/>
            <w:hideMark/>
          </w:tcPr>
          <w:p w14:paraId="33C512E0" w14:textId="268B808A" w:rsidR="00612969" w:rsidRPr="007D2212" w:rsidRDefault="00E97743">
            <w:pPr>
              <w:jc w:val="left"/>
              <w:rPr>
                <w:rFonts w:ascii="Arial" w:eastAsia="Times New Roman" w:hAnsi="Arial" w:cs="Arial"/>
                <w:color w:val="000000"/>
                <w:sz w:val="18"/>
                <w:szCs w:val="18"/>
              </w:rPr>
            </w:pPr>
            <w:r w:rsidRPr="007D2212">
              <w:rPr>
                <w:rStyle w:val="PleaseReviewParagraphId"/>
              </w:rPr>
              <w:t>[239]</w:t>
            </w:r>
            <w:r w:rsidRPr="007D2212">
              <w:rPr>
                <w:rFonts w:ascii="Arial" w:eastAsia="Times New Roman" w:hAnsi="Arial" w:cs="Arial"/>
                <w:color w:val="000000"/>
                <w:sz w:val="18"/>
                <w:szCs w:val="18"/>
              </w:rPr>
              <w:t>With very narrow anterolateral black marking</w:t>
            </w:r>
            <w:r w:rsidR="00556BAB">
              <w:rPr>
                <w:rFonts w:ascii="Arial" w:eastAsia="Times New Roman" w:hAnsi="Arial" w:cs="Arial"/>
                <w:color w:val="000000"/>
                <w:sz w:val="18"/>
                <w:szCs w:val="18"/>
              </w:rPr>
              <w:t>s</w:t>
            </w:r>
          </w:p>
        </w:tc>
        <w:tc>
          <w:tcPr>
            <w:tcW w:w="2120" w:type="dxa"/>
            <w:tcBorders>
              <w:top w:val="nil"/>
              <w:left w:val="nil"/>
              <w:bottom w:val="single" w:sz="8" w:space="0" w:color="auto"/>
              <w:right w:val="single" w:sz="8" w:space="0" w:color="auto"/>
            </w:tcBorders>
            <w:shd w:val="clear" w:color="auto" w:fill="auto"/>
            <w:vAlign w:val="center"/>
            <w:hideMark/>
          </w:tcPr>
          <w:p w14:paraId="2A71E8DA"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[240]</w:t>
            </w:r>
            <w:r w:rsidRPr="007D2212">
              <w:rPr>
                <w:rFonts w:ascii="Arial" w:eastAsia="Times New Roman" w:hAnsi="Arial" w:cs="Arial"/>
                <w:color w:val="000000"/>
                <w:sz w:val="18"/>
                <w:szCs w:val="18"/>
              </w:rPr>
              <w:t>With broad lateral black bands that cover lateral margins</w:t>
            </w:r>
          </w:p>
        </w:tc>
        <w:tc>
          <w:tcPr>
            <w:tcW w:w="2120" w:type="dxa"/>
            <w:tcBorders>
              <w:top w:val="nil"/>
              <w:left w:val="nil"/>
              <w:bottom w:val="single" w:sz="8" w:space="0" w:color="auto"/>
              <w:right w:val="single" w:sz="8" w:space="0" w:color="auto"/>
            </w:tcBorders>
            <w:shd w:val="clear" w:color="auto" w:fill="auto"/>
            <w:vAlign w:val="center"/>
            <w:hideMark/>
          </w:tcPr>
          <w:p w14:paraId="6EFEC5FD"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[241]</w:t>
            </w:r>
            <w:r w:rsidRPr="007D2212">
              <w:rPr>
                <w:rFonts w:ascii="Arial" w:eastAsia="Times New Roman" w:hAnsi="Arial" w:cs="Arial"/>
                <w:color w:val="000000"/>
                <w:sz w:val="18"/>
                <w:szCs w:val="18"/>
              </w:rPr>
              <w:t>With broad lateral black bands that cover lateral margins</w:t>
            </w:r>
          </w:p>
        </w:tc>
      </w:tr>
    </w:tbl>
    <w:p w14:paraId="421F4C38" w14:textId="77777777" w:rsidR="00612969" w:rsidRPr="007D2212" w:rsidRDefault="00E97743">
      <w:pPr>
        <w:pStyle w:val="IPPParagraphnumbering"/>
        <w:numPr>
          <w:ilvl w:val="0"/>
          <w:numId w:val="0"/>
        </w:numPr>
        <w:rPr>
          <w:rFonts w:eastAsiaTheme="minorEastAsia"/>
          <w:b/>
          <w:color w:val="000000"/>
          <w:lang w:val="en-GB" w:eastAsia="ja-JP"/>
        </w:rPr>
      </w:pPr>
      <w:r w:rsidRPr="007D2212">
        <w:rPr>
          <w:rStyle w:val="PleaseReviewParagraphId"/>
          <w:lang w:val="en-GB"/>
        </w:rPr>
        <w:t>[242]</w:t>
      </w:r>
      <w:r w:rsidRPr="007D2212">
        <w:rPr>
          <w:rFonts w:eastAsiaTheme="minorEastAsia"/>
          <w:b/>
          <w:color w:val="000000"/>
          <w:lang w:val="en-GB" w:eastAsia="ja-JP"/>
        </w:rPr>
        <w:br w:type="page"/>
      </w:r>
    </w:p>
    <w:p w14:paraId="45BBD1B7" w14:textId="77777777" w:rsidR="00612969" w:rsidRPr="007D2212" w:rsidRDefault="00E97743">
      <w:pPr>
        <w:pStyle w:val="IPPParagraphnumbering"/>
        <w:numPr>
          <w:ilvl w:val="0"/>
          <w:numId w:val="0"/>
        </w:numPr>
        <w:rPr>
          <w:rFonts w:eastAsiaTheme="minorEastAsia"/>
          <w:b/>
          <w:color w:val="000000"/>
          <w:lang w:val="en-GB" w:eastAsia="ja-JP"/>
        </w:rPr>
      </w:pPr>
      <w:r w:rsidRPr="007D2212">
        <w:rPr>
          <w:rStyle w:val="PleaseReviewParagraphId"/>
          <w:lang w:val="en-GB"/>
        </w:rPr>
        <w:lastRenderedPageBreak/>
        <w:t>[243]</w:t>
      </w:r>
      <w:r w:rsidRPr="007D2212">
        <w:rPr>
          <w:rFonts w:eastAsiaTheme="minorEastAsia"/>
          <w:b/>
          <w:color w:val="000000"/>
          <w:lang w:val="en-GB" w:eastAsia="ja-JP"/>
        </w:rPr>
        <w:t>Table 3 (Continued)</w:t>
      </w:r>
    </w:p>
    <w:tbl>
      <w:tblPr>
        <w:tblW w:w="14080" w:type="dxa"/>
        <w:tblLook w:val="04A0" w:firstRow="1" w:lastRow="0" w:firstColumn="1" w:lastColumn="0" w:noHBand="0" w:noVBand="1"/>
      </w:tblPr>
      <w:tblGrid>
        <w:gridCol w:w="1583"/>
        <w:gridCol w:w="2120"/>
        <w:gridCol w:w="2120"/>
        <w:gridCol w:w="2120"/>
        <w:gridCol w:w="2120"/>
        <w:gridCol w:w="2120"/>
        <w:gridCol w:w="2120"/>
      </w:tblGrid>
      <w:tr w:rsidR="00612969" w:rsidRPr="007D2212" w14:paraId="095ACF9C" w14:textId="77777777" w:rsidTr="00A4522D">
        <w:trPr>
          <w:trHeight w:val="300"/>
        </w:trPr>
        <w:tc>
          <w:tcPr>
            <w:tcW w:w="1360" w:type="dxa"/>
            <w:tcBorders>
              <w:top w:val="single" w:sz="8" w:space="0" w:color="auto"/>
              <w:left w:val="single" w:sz="8" w:space="0" w:color="auto"/>
              <w:bottom w:val="single" w:sz="8" w:space="0" w:color="auto"/>
              <w:right w:val="single" w:sz="8" w:space="0" w:color="auto"/>
            </w:tcBorders>
            <w:shd w:val="clear" w:color="auto" w:fill="BFBFBF" w:themeFill="background1" w:themeFillShade="BF"/>
            <w:noWrap/>
            <w:vAlign w:val="bottom"/>
            <w:hideMark/>
          </w:tcPr>
          <w:p w14:paraId="51693D5C" w14:textId="77777777" w:rsidR="00612969" w:rsidRPr="007D2212" w:rsidRDefault="00E97743">
            <w:pPr>
              <w:jc w:val="left"/>
              <w:rPr>
                <w:rFonts w:ascii="Calibri" w:eastAsia="Times New Roman" w:hAnsi="Calibri"/>
                <w:b/>
                <w:bCs/>
                <w:color w:val="000000"/>
                <w:szCs w:val="22"/>
              </w:rPr>
            </w:pPr>
            <w:r w:rsidRPr="007D2212">
              <w:rPr>
                <w:rStyle w:val="PleaseReviewParagraphId"/>
              </w:rPr>
              <w:t>[244]</w:t>
            </w:r>
            <w:r w:rsidRPr="007D2212">
              <w:rPr>
                <w:rFonts w:ascii="Calibri" w:eastAsia="Times New Roman" w:hAnsi="Calibri"/>
                <w:b/>
                <w:bCs/>
                <w:color w:val="000000"/>
                <w:szCs w:val="22"/>
              </w:rPr>
              <w:t>Structure</w:t>
            </w:r>
          </w:p>
        </w:tc>
        <w:tc>
          <w:tcPr>
            <w:tcW w:w="12720" w:type="dxa"/>
            <w:gridSpan w:val="6"/>
            <w:tcBorders>
              <w:top w:val="single" w:sz="8" w:space="0" w:color="auto"/>
              <w:left w:val="nil"/>
              <w:bottom w:val="single" w:sz="8" w:space="0" w:color="auto"/>
              <w:right w:val="single" w:sz="8" w:space="0" w:color="000000"/>
            </w:tcBorders>
            <w:shd w:val="clear" w:color="auto" w:fill="BFBFBF" w:themeFill="background1" w:themeFillShade="BF"/>
            <w:noWrap/>
            <w:vAlign w:val="bottom"/>
            <w:hideMark/>
          </w:tcPr>
          <w:p w14:paraId="4D63D121" w14:textId="77777777" w:rsidR="00612969" w:rsidRPr="007D2212" w:rsidRDefault="00E97743">
            <w:pPr>
              <w:jc w:val="center"/>
              <w:rPr>
                <w:rFonts w:ascii="Calibri" w:eastAsia="Times New Roman" w:hAnsi="Calibri"/>
                <w:b/>
                <w:bCs/>
                <w:color w:val="000000"/>
                <w:szCs w:val="22"/>
              </w:rPr>
            </w:pPr>
            <w:r w:rsidRPr="007D2212">
              <w:rPr>
                <w:rStyle w:val="PleaseReviewParagraphId"/>
              </w:rPr>
              <w:t>[245]</w:t>
            </w:r>
            <w:r w:rsidRPr="007D2212">
              <w:rPr>
                <w:rFonts w:ascii="Calibri" w:eastAsia="Times New Roman" w:hAnsi="Calibri"/>
                <w:b/>
                <w:bCs/>
                <w:color w:val="000000"/>
                <w:szCs w:val="22"/>
              </w:rPr>
              <w:t>Species</w:t>
            </w:r>
          </w:p>
        </w:tc>
      </w:tr>
      <w:tr w:rsidR="00612969" w:rsidRPr="007D2212" w14:paraId="00771E35" w14:textId="77777777">
        <w:trPr>
          <w:trHeight w:val="588"/>
        </w:trPr>
        <w:tc>
          <w:tcPr>
            <w:tcW w:w="1360" w:type="dxa"/>
            <w:tcBorders>
              <w:top w:val="nil"/>
              <w:left w:val="single" w:sz="8" w:space="0" w:color="auto"/>
              <w:bottom w:val="single" w:sz="8" w:space="0" w:color="auto"/>
              <w:right w:val="single" w:sz="8" w:space="0" w:color="auto"/>
            </w:tcBorders>
            <w:shd w:val="clear" w:color="auto" w:fill="auto"/>
            <w:noWrap/>
            <w:vAlign w:val="bottom"/>
            <w:hideMark/>
          </w:tcPr>
          <w:p w14:paraId="7BDB475E" w14:textId="77777777" w:rsidR="00612969" w:rsidRPr="007D2212" w:rsidRDefault="00E97743">
            <w:pPr>
              <w:jc w:val="left"/>
              <w:rPr>
                <w:rFonts w:ascii="Calibri" w:eastAsia="Times New Roman" w:hAnsi="Calibri"/>
                <w:color w:val="000000"/>
                <w:szCs w:val="22"/>
              </w:rPr>
            </w:pPr>
            <w:r w:rsidRPr="007D2212">
              <w:rPr>
                <w:rStyle w:val="PleaseReviewParagraphId"/>
              </w:rPr>
              <w:t>[246]</w:t>
            </w:r>
            <w:r w:rsidRPr="007D2212">
              <w:rPr>
                <w:rFonts w:ascii="Calibri" w:eastAsia="Times New Roman" w:hAnsi="Calibri"/>
                <w:color w:val="000000"/>
                <w:szCs w:val="22"/>
              </w:rPr>
              <w:t> </w:t>
            </w:r>
          </w:p>
        </w:tc>
        <w:tc>
          <w:tcPr>
            <w:tcW w:w="2120" w:type="dxa"/>
            <w:tcBorders>
              <w:top w:val="nil"/>
              <w:left w:val="nil"/>
              <w:bottom w:val="single" w:sz="8" w:space="0" w:color="auto"/>
              <w:right w:val="single" w:sz="8" w:space="0" w:color="auto"/>
            </w:tcBorders>
            <w:shd w:val="clear" w:color="auto" w:fill="auto"/>
            <w:hideMark/>
          </w:tcPr>
          <w:p w14:paraId="264DEE17" w14:textId="77777777" w:rsidR="00612969" w:rsidRPr="007D2212" w:rsidRDefault="00E97743">
            <w:pPr>
              <w:jc w:val="left"/>
              <w:rPr>
                <w:rFonts w:ascii="Calibri" w:eastAsia="Times New Roman" w:hAnsi="Calibri"/>
                <w:i/>
                <w:iCs/>
                <w:color w:val="000000"/>
                <w:szCs w:val="22"/>
              </w:rPr>
            </w:pPr>
            <w:r w:rsidRPr="007D2212">
              <w:rPr>
                <w:rStyle w:val="PleaseReviewParagraphId"/>
              </w:rPr>
              <w:t>[247]</w:t>
            </w:r>
            <w:r w:rsidRPr="007D2212">
              <w:rPr>
                <w:rFonts w:ascii="Calibri" w:eastAsia="Times New Roman" w:hAnsi="Calibri"/>
                <w:i/>
                <w:iCs/>
                <w:color w:val="000000"/>
                <w:szCs w:val="22"/>
              </w:rPr>
              <w:t>Bactrocera carambolae</w:t>
            </w:r>
          </w:p>
        </w:tc>
        <w:tc>
          <w:tcPr>
            <w:tcW w:w="2120" w:type="dxa"/>
            <w:tcBorders>
              <w:top w:val="nil"/>
              <w:left w:val="nil"/>
              <w:bottom w:val="single" w:sz="8" w:space="0" w:color="auto"/>
              <w:right w:val="single" w:sz="8" w:space="0" w:color="auto"/>
            </w:tcBorders>
            <w:shd w:val="clear" w:color="auto" w:fill="auto"/>
            <w:hideMark/>
          </w:tcPr>
          <w:p w14:paraId="16B3B576" w14:textId="77777777" w:rsidR="00612969" w:rsidRPr="007D2212" w:rsidRDefault="00E97743">
            <w:pPr>
              <w:jc w:val="left"/>
              <w:rPr>
                <w:rFonts w:ascii="Calibri" w:eastAsia="Times New Roman" w:hAnsi="Calibri"/>
                <w:i/>
                <w:iCs/>
                <w:color w:val="000000"/>
                <w:szCs w:val="22"/>
              </w:rPr>
            </w:pPr>
            <w:r w:rsidRPr="007D2212">
              <w:rPr>
                <w:rStyle w:val="PleaseReviewParagraphId"/>
              </w:rPr>
              <w:t>[248]</w:t>
            </w:r>
            <w:r w:rsidRPr="007D2212">
              <w:rPr>
                <w:rFonts w:ascii="Calibri" w:eastAsia="Times New Roman" w:hAnsi="Calibri"/>
                <w:i/>
                <w:iCs/>
                <w:color w:val="000000"/>
                <w:szCs w:val="22"/>
              </w:rPr>
              <w:t>Bactrocera caryeae</w:t>
            </w:r>
          </w:p>
        </w:tc>
        <w:tc>
          <w:tcPr>
            <w:tcW w:w="2120" w:type="dxa"/>
            <w:tcBorders>
              <w:top w:val="nil"/>
              <w:left w:val="nil"/>
              <w:bottom w:val="single" w:sz="8" w:space="0" w:color="auto"/>
              <w:right w:val="single" w:sz="8" w:space="0" w:color="auto"/>
            </w:tcBorders>
            <w:shd w:val="clear" w:color="auto" w:fill="auto"/>
            <w:hideMark/>
          </w:tcPr>
          <w:p w14:paraId="07451FD3" w14:textId="77777777" w:rsidR="00612969" w:rsidRPr="007D2212" w:rsidRDefault="00E97743">
            <w:pPr>
              <w:jc w:val="left"/>
              <w:rPr>
                <w:rFonts w:ascii="Calibri" w:eastAsia="Times New Roman" w:hAnsi="Calibri"/>
                <w:i/>
                <w:iCs/>
                <w:color w:val="000000"/>
                <w:szCs w:val="22"/>
              </w:rPr>
            </w:pPr>
            <w:r w:rsidRPr="007D2212">
              <w:rPr>
                <w:rStyle w:val="PleaseReviewParagraphId"/>
              </w:rPr>
              <w:t>[249]</w:t>
            </w:r>
            <w:r w:rsidRPr="007D2212">
              <w:rPr>
                <w:rFonts w:ascii="Calibri" w:eastAsia="Times New Roman" w:hAnsi="Calibri"/>
                <w:i/>
                <w:iCs/>
                <w:color w:val="000000"/>
                <w:szCs w:val="22"/>
              </w:rPr>
              <w:t>Bactrocera dorsalis</w:t>
            </w:r>
            <w:r w:rsidRPr="007D2212">
              <w:rPr>
                <w:rFonts w:ascii="Calibri" w:eastAsia="Times New Roman" w:hAnsi="Calibri"/>
                <w:color w:val="000000"/>
                <w:szCs w:val="22"/>
              </w:rPr>
              <w:t xml:space="preserve"> </w:t>
            </w:r>
            <w:r w:rsidRPr="00A4522D">
              <w:rPr>
                <w:rFonts w:ascii="Calibri" w:eastAsia="Times New Roman" w:hAnsi="Calibri"/>
                <w:i/>
                <w:color w:val="000000"/>
                <w:szCs w:val="22"/>
              </w:rPr>
              <w:t>s.l.</w:t>
            </w:r>
          </w:p>
        </w:tc>
        <w:tc>
          <w:tcPr>
            <w:tcW w:w="2120" w:type="dxa"/>
            <w:tcBorders>
              <w:top w:val="nil"/>
              <w:left w:val="nil"/>
              <w:bottom w:val="single" w:sz="8" w:space="0" w:color="auto"/>
              <w:right w:val="single" w:sz="8" w:space="0" w:color="auto"/>
            </w:tcBorders>
            <w:shd w:val="clear" w:color="auto" w:fill="auto"/>
            <w:hideMark/>
          </w:tcPr>
          <w:p w14:paraId="01E29EB9" w14:textId="77777777" w:rsidR="00612969" w:rsidRPr="007D2212" w:rsidRDefault="00E97743">
            <w:pPr>
              <w:jc w:val="left"/>
              <w:rPr>
                <w:rFonts w:ascii="Calibri" w:eastAsia="Times New Roman" w:hAnsi="Calibri"/>
                <w:i/>
                <w:iCs/>
                <w:color w:val="000000"/>
                <w:szCs w:val="22"/>
              </w:rPr>
            </w:pPr>
            <w:r w:rsidRPr="007D2212">
              <w:rPr>
                <w:rStyle w:val="PleaseReviewParagraphId"/>
              </w:rPr>
              <w:t>[250]</w:t>
            </w:r>
            <w:r w:rsidRPr="007D2212">
              <w:rPr>
                <w:rFonts w:ascii="Calibri" w:eastAsia="Times New Roman" w:hAnsi="Calibri"/>
                <w:i/>
                <w:iCs/>
                <w:color w:val="000000"/>
                <w:szCs w:val="22"/>
              </w:rPr>
              <w:t>Bactrocera kandiensis</w:t>
            </w:r>
          </w:p>
        </w:tc>
        <w:tc>
          <w:tcPr>
            <w:tcW w:w="2120" w:type="dxa"/>
            <w:tcBorders>
              <w:top w:val="nil"/>
              <w:left w:val="nil"/>
              <w:bottom w:val="single" w:sz="8" w:space="0" w:color="auto"/>
              <w:right w:val="single" w:sz="8" w:space="0" w:color="auto"/>
            </w:tcBorders>
            <w:shd w:val="clear" w:color="auto" w:fill="auto"/>
            <w:hideMark/>
          </w:tcPr>
          <w:p w14:paraId="6DEFD41B" w14:textId="77777777" w:rsidR="00612969" w:rsidRPr="007D2212" w:rsidRDefault="00E97743">
            <w:pPr>
              <w:jc w:val="left"/>
              <w:rPr>
                <w:rFonts w:ascii="Calibri" w:eastAsia="Times New Roman" w:hAnsi="Calibri"/>
                <w:i/>
                <w:iCs/>
                <w:color w:val="000000"/>
                <w:szCs w:val="22"/>
              </w:rPr>
            </w:pPr>
            <w:r w:rsidRPr="007D2212">
              <w:rPr>
                <w:rStyle w:val="PleaseReviewParagraphId"/>
              </w:rPr>
              <w:t>[251]</w:t>
            </w:r>
            <w:r w:rsidRPr="007D2212">
              <w:rPr>
                <w:rFonts w:ascii="Calibri" w:eastAsia="Times New Roman" w:hAnsi="Calibri"/>
                <w:i/>
                <w:iCs/>
                <w:color w:val="000000"/>
                <w:szCs w:val="22"/>
              </w:rPr>
              <w:t>Bactrocera occipitalis</w:t>
            </w:r>
          </w:p>
        </w:tc>
        <w:tc>
          <w:tcPr>
            <w:tcW w:w="2120" w:type="dxa"/>
            <w:tcBorders>
              <w:top w:val="nil"/>
              <w:left w:val="nil"/>
              <w:bottom w:val="single" w:sz="8" w:space="0" w:color="auto"/>
              <w:right w:val="single" w:sz="8" w:space="0" w:color="auto"/>
            </w:tcBorders>
            <w:shd w:val="clear" w:color="auto" w:fill="auto"/>
            <w:hideMark/>
          </w:tcPr>
          <w:p w14:paraId="24A8F2CB" w14:textId="77777777" w:rsidR="00612969" w:rsidRPr="007D2212" w:rsidRDefault="00E97743">
            <w:pPr>
              <w:jc w:val="left"/>
              <w:rPr>
                <w:rFonts w:ascii="Calibri" w:eastAsia="Times New Roman" w:hAnsi="Calibri"/>
                <w:i/>
                <w:iCs/>
                <w:color w:val="000000"/>
                <w:szCs w:val="22"/>
              </w:rPr>
            </w:pPr>
            <w:r w:rsidRPr="007D2212">
              <w:rPr>
                <w:rStyle w:val="PleaseReviewParagraphId"/>
              </w:rPr>
              <w:t>[252]</w:t>
            </w:r>
            <w:r w:rsidRPr="007D2212">
              <w:rPr>
                <w:rFonts w:ascii="Calibri" w:eastAsia="Times New Roman" w:hAnsi="Calibri"/>
                <w:i/>
                <w:iCs/>
                <w:color w:val="000000"/>
                <w:szCs w:val="22"/>
              </w:rPr>
              <w:t>Bactrocera pyrifoliae</w:t>
            </w:r>
          </w:p>
        </w:tc>
      </w:tr>
      <w:tr w:rsidR="00612969" w:rsidRPr="007D2212" w14:paraId="4006832A" w14:textId="77777777" w:rsidTr="00A4522D">
        <w:trPr>
          <w:trHeight w:val="300"/>
        </w:trPr>
        <w:tc>
          <w:tcPr>
            <w:tcW w:w="1360" w:type="dxa"/>
            <w:tcBorders>
              <w:top w:val="nil"/>
              <w:left w:val="single" w:sz="8" w:space="0" w:color="auto"/>
              <w:bottom w:val="single" w:sz="8" w:space="0" w:color="auto"/>
              <w:right w:val="nil"/>
            </w:tcBorders>
            <w:shd w:val="clear" w:color="auto" w:fill="BFBFBF" w:themeFill="background1" w:themeFillShade="BF"/>
            <w:noWrap/>
            <w:vAlign w:val="bottom"/>
            <w:hideMark/>
          </w:tcPr>
          <w:p w14:paraId="74CE7D2A" w14:textId="77777777" w:rsidR="00612969" w:rsidRPr="007D2212" w:rsidRDefault="00E97743">
            <w:pPr>
              <w:jc w:val="left"/>
              <w:rPr>
                <w:rFonts w:ascii="Calibri" w:eastAsia="Times New Roman" w:hAnsi="Calibri"/>
                <w:b/>
                <w:bCs/>
                <w:color w:val="000000"/>
                <w:szCs w:val="22"/>
              </w:rPr>
            </w:pPr>
            <w:r w:rsidRPr="007D2212">
              <w:rPr>
                <w:rStyle w:val="PleaseReviewParagraphId"/>
              </w:rPr>
              <w:t>[253]</w:t>
            </w:r>
            <w:r w:rsidRPr="007D2212">
              <w:rPr>
                <w:rFonts w:ascii="Calibri" w:eastAsia="Times New Roman" w:hAnsi="Calibri"/>
                <w:b/>
                <w:bCs/>
                <w:color w:val="000000"/>
                <w:szCs w:val="22"/>
              </w:rPr>
              <w:t>Thorax</w:t>
            </w:r>
          </w:p>
        </w:tc>
        <w:tc>
          <w:tcPr>
            <w:tcW w:w="2120" w:type="dxa"/>
            <w:tcBorders>
              <w:top w:val="nil"/>
              <w:left w:val="nil"/>
              <w:bottom w:val="single" w:sz="8" w:space="0" w:color="auto"/>
              <w:right w:val="nil"/>
            </w:tcBorders>
            <w:shd w:val="clear" w:color="auto" w:fill="BFBFBF" w:themeFill="background1" w:themeFillShade="BF"/>
            <w:hideMark/>
          </w:tcPr>
          <w:p w14:paraId="30A4B104" w14:textId="77777777" w:rsidR="00612969" w:rsidRPr="007D2212" w:rsidRDefault="00E97743">
            <w:pPr>
              <w:jc w:val="left"/>
              <w:rPr>
                <w:rFonts w:ascii="Calibri" w:eastAsia="Times New Roman" w:hAnsi="Calibri"/>
                <w:i/>
                <w:iCs/>
                <w:color w:val="000000"/>
                <w:szCs w:val="22"/>
              </w:rPr>
            </w:pPr>
            <w:r w:rsidRPr="007D2212">
              <w:rPr>
                <w:rStyle w:val="PleaseReviewParagraphId"/>
              </w:rPr>
              <w:t>[254]</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3927B61A" w14:textId="77777777" w:rsidR="00612969" w:rsidRPr="007D2212" w:rsidRDefault="00E97743">
            <w:pPr>
              <w:jc w:val="left"/>
              <w:rPr>
                <w:rFonts w:ascii="Calibri" w:eastAsia="Times New Roman" w:hAnsi="Calibri"/>
                <w:i/>
                <w:iCs/>
                <w:color w:val="000000"/>
                <w:szCs w:val="22"/>
              </w:rPr>
            </w:pPr>
            <w:r w:rsidRPr="007D2212">
              <w:rPr>
                <w:rStyle w:val="PleaseReviewParagraphId"/>
              </w:rPr>
              <w:t>[255]</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4381E082" w14:textId="77777777" w:rsidR="00612969" w:rsidRPr="007D2212" w:rsidRDefault="00E97743">
            <w:pPr>
              <w:jc w:val="left"/>
              <w:rPr>
                <w:rFonts w:ascii="Calibri" w:eastAsia="Times New Roman" w:hAnsi="Calibri"/>
                <w:i/>
                <w:iCs/>
                <w:color w:val="000000"/>
                <w:szCs w:val="22"/>
              </w:rPr>
            </w:pPr>
            <w:r w:rsidRPr="007D2212">
              <w:rPr>
                <w:rStyle w:val="PleaseReviewParagraphId"/>
              </w:rPr>
              <w:t>[256]</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688EA5A1" w14:textId="77777777" w:rsidR="00612969" w:rsidRPr="007D2212" w:rsidRDefault="00E97743">
            <w:pPr>
              <w:jc w:val="left"/>
              <w:rPr>
                <w:rFonts w:ascii="Calibri" w:eastAsia="Times New Roman" w:hAnsi="Calibri"/>
                <w:i/>
                <w:iCs/>
                <w:color w:val="000000"/>
                <w:szCs w:val="22"/>
              </w:rPr>
            </w:pPr>
            <w:r w:rsidRPr="007D2212">
              <w:rPr>
                <w:rStyle w:val="PleaseReviewParagraphId"/>
              </w:rPr>
              <w:t>[257]</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4374F97D" w14:textId="77777777" w:rsidR="00612969" w:rsidRPr="007D2212" w:rsidRDefault="00E97743">
            <w:pPr>
              <w:jc w:val="left"/>
              <w:rPr>
                <w:rFonts w:ascii="Calibri" w:eastAsia="Times New Roman" w:hAnsi="Calibri"/>
                <w:i/>
                <w:iCs/>
                <w:color w:val="000000"/>
                <w:szCs w:val="22"/>
              </w:rPr>
            </w:pPr>
            <w:r w:rsidRPr="007D2212">
              <w:rPr>
                <w:rStyle w:val="PleaseReviewParagraphId"/>
              </w:rPr>
              <w:t>[258]</w:t>
            </w:r>
            <w:r w:rsidRPr="007D2212">
              <w:rPr>
                <w:rFonts w:ascii="Calibri" w:eastAsia="Times New Roman" w:hAnsi="Calibri"/>
                <w:i/>
                <w:iCs/>
                <w:color w:val="000000"/>
                <w:szCs w:val="22"/>
              </w:rPr>
              <w:t> </w:t>
            </w:r>
          </w:p>
        </w:tc>
        <w:tc>
          <w:tcPr>
            <w:tcW w:w="2120" w:type="dxa"/>
            <w:tcBorders>
              <w:top w:val="nil"/>
              <w:left w:val="nil"/>
              <w:bottom w:val="single" w:sz="8" w:space="0" w:color="auto"/>
              <w:right w:val="single" w:sz="8" w:space="0" w:color="auto"/>
            </w:tcBorders>
            <w:shd w:val="clear" w:color="auto" w:fill="BFBFBF" w:themeFill="background1" w:themeFillShade="BF"/>
            <w:hideMark/>
          </w:tcPr>
          <w:p w14:paraId="79940EBE" w14:textId="77777777" w:rsidR="00612969" w:rsidRPr="007D2212" w:rsidRDefault="00E97743">
            <w:pPr>
              <w:jc w:val="left"/>
              <w:rPr>
                <w:rFonts w:ascii="Calibri" w:eastAsia="Times New Roman" w:hAnsi="Calibri"/>
                <w:i/>
                <w:iCs/>
                <w:color w:val="000000"/>
                <w:szCs w:val="22"/>
              </w:rPr>
            </w:pPr>
            <w:r w:rsidRPr="007D2212">
              <w:rPr>
                <w:rStyle w:val="PleaseReviewParagraphId"/>
              </w:rPr>
              <w:t>[259]</w:t>
            </w:r>
            <w:r w:rsidRPr="007D2212">
              <w:rPr>
                <w:rFonts w:ascii="Calibri" w:eastAsia="Times New Roman" w:hAnsi="Calibri"/>
                <w:i/>
                <w:iCs/>
                <w:color w:val="000000"/>
                <w:szCs w:val="22"/>
              </w:rPr>
              <w:t> </w:t>
            </w:r>
          </w:p>
        </w:tc>
      </w:tr>
      <w:tr w:rsidR="00612969" w:rsidRPr="007D2212" w14:paraId="4FE09C4C" w14:textId="77777777">
        <w:trPr>
          <w:trHeight w:val="696"/>
        </w:trPr>
        <w:tc>
          <w:tcPr>
            <w:tcW w:w="1360" w:type="dxa"/>
            <w:tcBorders>
              <w:top w:val="nil"/>
              <w:left w:val="single" w:sz="8" w:space="0" w:color="auto"/>
              <w:bottom w:val="single" w:sz="8" w:space="0" w:color="auto"/>
              <w:right w:val="single" w:sz="8" w:space="0" w:color="auto"/>
            </w:tcBorders>
            <w:shd w:val="clear" w:color="auto" w:fill="auto"/>
            <w:vAlign w:val="center"/>
            <w:hideMark/>
          </w:tcPr>
          <w:p w14:paraId="54E2AAB6"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[260]</w:t>
            </w:r>
            <w:r w:rsidRPr="007D2212">
              <w:rPr>
                <w:rFonts w:ascii="Arial" w:eastAsia="Times New Roman" w:hAnsi="Arial" w:cs="Arial"/>
                <w:color w:val="000000"/>
                <w:sz w:val="18"/>
                <w:szCs w:val="18"/>
              </w:rPr>
              <w:t>Scutum colour (Figure 12)</w:t>
            </w:r>
          </w:p>
        </w:tc>
        <w:tc>
          <w:tcPr>
            <w:tcW w:w="2120" w:type="dxa"/>
            <w:tcBorders>
              <w:top w:val="nil"/>
              <w:left w:val="nil"/>
              <w:bottom w:val="single" w:sz="8" w:space="0" w:color="auto"/>
              <w:right w:val="single" w:sz="8" w:space="0" w:color="auto"/>
            </w:tcBorders>
            <w:shd w:val="clear" w:color="auto" w:fill="auto"/>
            <w:vAlign w:val="center"/>
            <w:hideMark/>
          </w:tcPr>
          <w:p w14:paraId="16BBFAC3"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[261]</w:t>
            </w:r>
            <w:r w:rsidRPr="007D2212">
              <w:rPr>
                <w:rFonts w:ascii="Arial" w:eastAsia="Times New Roman" w:hAnsi="Arial" w:cs="Arial"/>
                <w:color w:val="000000"/>
                <w:sz w:val="18"/>
                <w:szCs w:val="18"/>
              </w:rPr>
              <w:t>Dull black (Figure 12(a))</w:t>
            </w:r>
          </w:p>
        </w:tc>
        <w:tc>
          <w:tcPr>
            <w:tcW w:w="2120" w:type="dxa"/>
            <w:tcBorders>
              <w:top w:val="nil"/>
              <w:left w:val="nil"/>
              <w:bottom w:val="single" w:sz="8" w:space="0" w:color="auto"/>
              <w:right w:val="single" w:sz="8" w:space="0" w:color="auto"/>
            </w:tcBorders>
            <w:shd w:val="clear" w:color="auto" w:fill="auto"/>
            <w:vAlign w:val="center"/>
            <w:hideMark/>
          </w:tcPr>
          <w:p w14:paraId="448FBADE" w14:textId="3B6C2A6C" w:rsidR="00612969" w:rsidRPr="007D2212" w:rsidRDefault="00E97743" w:rsidP="00103272">
            <w:pPr>
              <w:jc w:val="left"/>
              <w:rPr>
                <w:rFonts w:ascii="Arial" w:eastAsia="Times New Roman" w:hAnsi="Arial" w:cs="Arial"/>
                <w:color w:val="000000"/>
                <w:sz w:val="18"/>
                <w:szCs w:val="18"/>
              </w:rPr>
            </w:pPr>
            <w:r w:rsidRPr="007D2212">
              <w:rPr>
                <w:rStyle w:val="PleaseReviewParagraphId"/>
              </w:rPr>
              <w:t>[262]</w:t>
            </w:r>
            <w:r w:rsidR="00103272" w:rsidRPr="007D2212">
              <w:rPr>
                <w:rFonts w:ascii="Arial" w:eastAsia="Times New Roman" w:hAnsi="Arial" w:cs="Arial"/>
                <w:color w:val="000000"/>
                <w:sz w:val="18"/>
                <w:szCs w:val="18"/>
              </w:rPr>
              <w:t xml:space="preserve">Entirely </w:t>
            </w:r>
            <w:r w:rsidRPr="007D2212">
              <w:rPr>
                <w:rFonts w:ascii="Arial" w:eastAsia="Times New Roman" w:hAnsi="Arial" w:cs="Arial"/>
                <w:color w:val="000000"/>
                <w:sz w:val="18"/>
                <w:szCs w:val="18"/>
              </w:rPr>
              <w:t>black (Figure 12(b))</w:t>
            </w:r>
          </w:p>
        </w:tc>
        <w:tc>
          <w:tcPr>
            <w:tcW w:w="2120" w:type="dxa"/>
            <w:tcBorders>
              <w:top w:val="nil"/>
              <w:left w:val="nil"/>
              <w:bottom w:val="single" w:sz="8" w:space="0" w:color="auto"/>
              <w:right w:val="single" w:sz="8" w:space="0" w:color="auto"/>
            </w:tcBorders>
            <w:shd w:val="clear" w:color="auto" w:fill="auto"/>
            <w:vAlign w:val="center"/>
            <w:hideMark/>
          </w:tcPr>
          <w:p w14:paraId="5900C10C" w14:textId="3FA44F6B" w:rsidR="00612969" w:rsidRPr="007D2212" w:rsidRDefault="00E97743">
            <w:pPr>
              <w:jc w:val="left"/>
              <w:rPr>
                <w:rFonts w:ascii="Arial" w:eastAsia="Times New Roman" w:hAnsi="Arial" w:cs="Arial"/>
                <w:color w:val="000000"/>
                <w:sz w:val="18"/>
                <w:szCs w:val="18"/>
              </w:rPr>
            </w:pPr>
            <w:r w:rsidRPr="007D2212">
              <w:rPr>
                <w:rStyle w:val="PleaseReviewParagraphId"/>
              </w:rPr>
              <w:t>[263]</w:t>
            </w:r>
            <w:r w:rsidRPr="007D2212">
              <w:rPr>
                <w:rFonts w:ascii="Arial" w:eastAsia="Times New Roman" w:hAnsi="Arial" w:cs="Arial"/>
                <w:color w:val="000000"/>
                <w:sz w:val="18"/>
                <w:szCs w:val="18"/>
              </w:rPr>
              <w:t>Black to red</w:t>
            </w:r>
            <w:r w:rsidR="00706DAC">
              <w:rPr>
                <w:rFonts w:ascii="Arial" w:eastAsia="Times New Roman" w:hAnsi="Arial" w:cs="Arial"/>
                <w:color w:val="000000"/>
                <w:sz w:val="18"/>
                <w:szCs w:val="18"/>
              </w:rPr>
              <w:t>–</w:t>
            </w:r>
            <w:r w:rsidRPr="007D2212">
              <w:rPr>
                <w:rFonts w:ascii="Arial" w:eastAsia="Times New Roman" w:hAnsi="Arial" w:cs="Arial"/>
                <w:color w:val="000000"/>
                <w:sz w:val="18"/>
                <w:szCs w:val="18"/>
              </w:rPr>
              <w:t>brown (inter or intra-regionally variable) (Figure 12(c))</w:t>
            </w:r>
          </w:p>
        </w:tc>
        <w:tc>
          <w:tcPr>
            <w:tcW w:w="2120" w:type="dxa"/>
            <w:tcBorders>
              <w:top w:val="nil"/>
              <w:left w:val="nil"/>
              <w:bottom w:val="single" w:sz="8" w:space="0" w:color="auto"/>
              <w:right w:val="single" w:sz="8" w:space="0" w:color="auto"/>
            </w:tcBorders>
            <w:shd w:val="clear" w:color="auto" w:fill="auto"/>
            <w:vAlign w:val="center"/>
            <w:hideMark/>
          </w:tcPr>
          <w:p w14:paraId="0CFAC081"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[264]</w:t>
            </w:r>
            <w:r w:rsidRPr="007D2212">
              <w:rPr>
                <w:rFonts w:ascii="Arial" w:eastAsia="Times New Roman" w:hAnsi="Arial" w:cs="Arial"/>
                <w:color w:val="000000"/>
                <w:sz w:val="18"/>
                <w:szCs w:val="18"/>
              </w:rPr>
              <w:t>Black (Figure 12(d))</w:t>
            </w:r>
          </w:p>
        </w:tc>
        <w:tc>
          <w:tcPr>
            <w:tcW w:w="2120" w:type="dxa"/>
            <w:tcBorders>
              <w:top w:val="nil"/>
              <w:left w:val="nil"/>
              <w:bottom w:val="single" w:sz="8" w:space="0" w:color="auto"/>
              <w:right w:val="single" w:sz="8" w:space="0" w:color="auto"/>
            </w:tcBorders>
            <w:shd w:val="clear" w:color="auto" w:fill="auto"/>
            <w:vAlign w:val="center"/>
            <w:hideMark/>
          </w:tcPr>
          <w:p w14:paraId="0AB7D1DC" w14:textId="1D87A213" w:rsidR="00612969" w:rsidRPr="007D2212" w:rsidRDefault="00E97743" w:rsidP="00995FAD">
            <w:pPr>
              <w:jc w:val="left"/>
              <w:rPr>
                <w:rFonts w:ascii="Arial" w:eastAsia="Times New Roman" w:hAnsi="Arial" w:cs="Arial"/>
                <w:color w:val="000000"/>
                <w:sz w:val="18"/>
                <w:szCs w:val="18"/>
              </w:rPr>
            </w:pPr>
            <w:r w:rsidRPr="007D2212">
              <w:rPr>
                <w:rStyle w:val="PleaseReviewParagraphId"/>
              </w:rPr>
              <w:t>[265]</w:t>
            </w:r>
            <w:r w:rsidRPr="007D2212">
              <w:rPr>
                <w:rFonts w:ascii="Arial" w:eastAsia="Times New Roman" w:hAnsi="Arial" w:cs="Arial"/>
                <w:color w:val="000000"/>
                <w:sz w:val="18"/>
                <w:szCs w:val="18"/>
              </w:rPr>
              <w:t>Black (Figure 12(e))</w:t>
            </w:r>
          </w:p>
        </w:tc>
        <w:tc>
          <w:tcPr>
            <w:tcW w:w="2120" w:type="dxa"/>
            <w:tcBorders>
              <w:top w:val="nil"/>
              <w:left w:val="nil"/>
              <w:bottom w:val="single" w:sz="8" w:space="0" w:color="auto"/>
              <w:right w:val="single" w:sz="8" w:space="0" w:color="auto"/>
            </w:tcBorders>
            <w:shd w:val="clear" w:color="auto" w:fill="auto"/>
            <w:vAlign w:val="center"/>
            <w:hideMark/>
          </w:tcPr>
          <w:p w14:paraId="48FA92DA" w14:textId="77618372" w:rsidR="00612969" w:rsidRPr="007D2212" w:rsidRDefault="00E97743" w:rsidP="00A4522D">
            <w:pPr>
              <w:pStyle w:val="IPPArialTable"/>
            </w:pPr>
            <w:r w:rsidRPr="007D2212">
              <w:rPr>
                <w:rStyle w:val="PleaseReviewParagraphId"/>
              </w:rPr>
              <w:t>[266]</w:t>
            </w:r>
            <w:r w:rsidR="00103272" w:rsidRPr="007D2212">
              <w:t>Entirely</w:t>
            </w:r>
            <w:r w:rsidRPr="007D2212">
              <w:t xml:space="preserve"> black (Figure 12(f))</w:t>
            </w:r>
          </w:p>
        </w:tc>
      </w:tr>
      <w:tr w:rsidR="00612969" w:rsidRPr="007D2212" w14:paraId="6A7C58FB" w14:textId="77777777">
        <w:trPr>
          <w:trHeight w:val="696"/>
        </w:trPr>
        <w:tc>
          <w:tcPr>
            <w:tcW w:w="1360" w:type="dxa"/>
            <w:tcBorders>
              <w:top w:val="nil"/>
              <w:left w:val="single" w:sz="8" w:space="0" w:color="auto"/>
              <w:bottom w:val="single" w:sz="8" w:space="0" w:color="auto"/>
              <w:right w:val="single" w:sz="8" w:space="0" w:color="auto"/>
            </w:tcBorders>
            <w:shd w:val="clear" w:color="auto" w:fill="auto"/>
            <w:vAlign w:val="center"/>
            <w:hideMark/>
          </w:tcPr>
          <w:p w14:paraId="76D8E70C"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[267]</w:t>
            </w:r>
            <w:r w:rsidRPr="007D2212">
              <w:rPr>
                <w:rFonts w:ascii="Arial" w:eastAsia="Times New Roman" w:hAnsi="Arial" w:cs="Arial"/>
                <w:color w:val="000000"/>
                <w:sz w:val="18"/>
                <w:szCs w:val="18"/>
              </w:rPr>
              <w:t>Postpronotal lobe (Figures 4, 10, 12, 18)</w:t>
            </w:r>
          </w:p>
        </w:tc>
        <w:tc>
          <w:tcPr>
            <w:tcW w:w="2120" w:type="dxa"/>
            <w:tcBorders>
              <w:top w:val="nil"/>
              <w:left w:val="nil"/>
              <w:bottom w:val="single" w:sz="8" w:space="0" w:color="auto"/>
              <w:right w:val="single" w:sz="8" w:space="0" w:color="auto"/>
            </w:tcBorders>
            <w:shd w:val="clear" w:color="auto" w:fill="auto"/>
            <w:vAlign w:val="center"/>
            <w:hideMark/>
          </w:tcPr>
          <w:p w14:paraId="7A24B696"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[268]</w:t>
            </w:r>
            <w:r w:rsidRPr="007D2212">
              <w:rPr>
                <w:rFonts w:ascii="Arial" w:eastAsia="Times New Roman" w:hAnsi="Arial" w:cs="Arial"/>
                <w:color w:val="000000"/>
                <w:sz w:val="18"/>
                <w:szCs w:val="18"/>
              </w:rPr>
              <w:t>Entirely yellow (Figure 18(a))</w:t>
            </w:r>
          </w:p>
        </w:tc>
        <w:tc>
          <w:tcPr>
            <w:tcW w:w="2120" w:type="dxa"/>
            <w:tcBorders>
              <w:top w:val="nil"/>
              <w:left w:val="nil"/>
              <w:bottom w:val="single" w:sz="8" w:space="0" w:color="auto"/>
              <w:right w:val="single" w:sz="8" w:space="0" w:color="auto"/>
            </w:tcBorders>
            <w:shd w:val="clear" w:color="auto" w:fill="auto"/>
            <w:vAlign w:val="center"/>
            <w:hideMark/>
          </w:tcPr>
          <w:p w14:paraId="6D7D82D0"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[269]</w:t>
            </w:r>
            <w:r w:rsidRPr="007D2212">
              <w:rPr>
                <w:rFonts w:ascii="Arial" w:eastAsia="Times New Roman" w:hAnsi="Arial" w:cs="Arial"/>
                <w:color w:val="000000"/>
                <w:sz w:val="18"/>
                <w:szCs w:val="18"/>
              </w:rPr>
              <w:t>Yellow with dark anteromedial corner (Figure 18(b))</w:t>
            </w:r>
          </w:p>
        </w:tc>
        <w:tc>
          <w:tcPr>
            <w:tcW w:w="2120" w:type="dxa"/>
            <w:tcBorders>
              <w:top w:val="nil"/>
              <w:left w:val="nil"/>
              <w:bottom w:val="single" w:sz="8" w:space="0" w:color="auto"/>
              <w:right w:val="single" w:sz="8" w:space="0" w:color="auto"/>
            </w:tcBorders>
            <w:shd w:val="clear" w:color="auto" w:fill="auto"/>
            <w:vAlign w:val="center"/>
            <w:hideMark/>
          </w:tcPr>
          <w:p w14:paraId="03105C2E"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[270]</w:t>
            </w:r>
            <w:r w:rsidRPr="007D2212">
              <w:rPr>
                <w:rFonts w:ascii="Arial" w:eastAsia="Times New Roman" w:hAnsi="Arial" w:cs="Arial"/>
                <w:color w:val="000000"/>
                <w:sz w:val="18"/>
                <w:szCs w:val="18"/>
              </w:rPr>
              <w:t>Entirely yellow (Figure 18(c))</w:t>
            </w:r>
          </w:p>
        </w:tc>
        <w:tc>
          <w:tcPr>
            <w:tcW w:w="2120" w:type="dxa"/>
            <w:tcBorders>
              <w:top w:val="nil"/>
              <w:left w:val="nil"/>
              <w:bottom w:val="single" w:sz="8" w:space="0" w:color="auto"/>
              <w:right w:val="single" w:sz="8" w:space="0" w:color="auto"/>
            </w:tcBorders>
            <w:shd w:val="clear" w:color="auto" w:fill="auto"/>
            <w:vAlign w:val="center"/>
            <w:hideMark/>
          </w:tcPr>
          <w:p w14:paraId="25ACF281"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[271]</w:t>
            </w:r>
            <w:r w:rsidRPr="007D2212">
              <w:rPr>
                <w:rFonts w:ascii="Arial" w:eastAsia="Times New Roman" w:hAnsi="Arial" w:cs="Arial"/>
                <w:color w:val="000000"/>
                <w:sz w:val="18"/>
                <w:szCs w:val="18"/>
              </w:rPr>
              <w:t>Yellow with dark anteromedial corner (Figure 18(d))</w:t>
            </w:r>
          </w:p>
        </w:tc>
        <w:tc>
          <w:tcPr>
            <w:tcW w:w="2120" w:type="dxa"/>
            <w:tcBorders>
              <w:top w:val="nil"/>
              <w:left w:val="nil"/>
              <w:bottom w:val="single" w:sz="8" w:space="0" w:color="auto"/>
              <w:right w:val="single" w:sz="8" w:space="0" w:color="auto"/>
            </w:tcBorders>
            <w:shd w:val="clear" w:color="auto" w:fill="auto"/>
            <w:vAlign w:val="center"/>
            <w:hideMark/>
          </w:tcPr>
          <w:p w14:paraId="76E015A1"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[272]</w:t>
            </w:r>
            <w:r w:rsidRPr="007D2212">
              <w:rPr>
                <w:rFonts w:ascii="Arial" w:eastAsia="Times New Roman" w:hAnsi="Arial" w:cs="Arial"/>
                <w:color w:val="000000"/>
                <w:sz w:val="18"/>
                <w:szCs w:val="18"/>
              </w:rPr>
              <w:t>Entirely yellow (Figure 18(e))</w:t>
            </w:r>
          </w:p>
        </w:tc>
        <w:tc>
          <w:tcPr>
            <w:tcW w:w="2120" w:type="dxa"/>
            <w:tcBorders>
              <w:top w:val="nil"/>
              <w:left w:val="nil"/>
              <w:bottom w:val="single" w:sz="8" w:space="0" w:color="auto"/>
              <w:right w:val="single" w:sz="8" w:space="0" w:color="auto"/>
            </w:tcBorders>
            <w:shd w:val="clear" w:color="auto" w:fill="auto"/>
            <w:vAlign w:val="center"/>
            <w:hideMark/>
          </w:tcPr>
          <w:p w14:paraId="0DAABF5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[273]</w:t>
            </w:r>
            <w:r w:rsidRPr="007D2212">
              <w:rPr>
                <w:rFonts w:ascii="Arial" w:eastAsia="Times New Roman" w:hAnsi="Arial" w:cs="Arial"/>
                <w:color w:val="000000"/>
                <w:sz w:val="18"/>
                <w:szCs w:val="18"/>
              </w:rPr>
              <w:t>Entirely yellow (Figure 18(f))</w:t>
            </w:r>
          </w:p>
        </w:tc>
      </w:tr>
      <w:tr w:rsidR="00612969" w:rsidRPr="007D2212" w14:paraId="663D3D5D" w14:textId="77777777">
        <w:trPr>
          <w:trHeight w:val="1608"/>
        </w:trPr>
        <w:tc>
          <w:tcPr>
            <w:tcW w:w="1360" w:type="dxa"/>
            <w:tcBorders>
              <w:top w:val="nil"/>
              <w:left w:val="single" w:sz="8" w:space="0" w:color="auto"/>
              <w:bottom w:val="single" w:sz="8" w:space="0" w:color="auto"/>
              <w:right w:val="single" w:sz="8" w:space="0" w:color="auto"/>
            </w:tcBorders>
            <w:shd w:val="clear" w:color="auto" w:fill="auto"/>
            <w:vAlign w:val="center"/>
            <w:hideMark/>
          </w:tcPr>
          <w:p w14:paraId="3F6E7B3C" w14:textId="72FCB6BB" w:rsidR="00612969" w:rsidRPr="007D2212" w:rsidRDefault="00E97743">
            <w:pPr>
              <w:jc w:val="left"/>
              <w:rPr>
                <w:rFonts w:ascii="Arial" w:eastAsia="Times New Roman" w:hAnsi="Arial" w:cs="Arial"/>
                <w:color w:val="000000"/>
                <w:sz w:val="18"/>
                <w:szCs w:val="18"/>
              </w:rPr>
            </w:pPr>
            <w:r w:rsidRPr="007D2212">
              <w:rPr>
                <w:rStyle w:val="PleaseReviewParagraphId"/>
              </w:rPr>
              <w:t>[274]</w:t>
            </w:r>
            <w:r w:rsidRPr="007D2212">
              <w:rPr>
                <w:rFonts w:ascii="Arial" w:eastAsia="Times New Roman" w:hAnsi="Arial" w:cs="Arial"/>
                <w:color w:val="000000"/>
                <w:sz w:val="18"/>
                <w:szCs w:val="18"/>
              </w:rPr>
              <w:t xml:space="preserve">Anterior margin of </w:t>
            </w:r>
            <w:r w:rsidR="007C75C4" w:rsidRPr="007D2212">
              <w:rPr>
                <w:rFonts w:ascii="Arial" w:eastAsia="Times New Roman" w:hAnsi="Arial" w:cs="Arial"/>
                <w:color w:val="000000"/>
                <w:sz w:val="18"/>
                <w:szCs w:val="18"/>
              </w:rPr>
              <w:t>anepisternal</w:t>
            </w:r>
            <w:r w:rsidRPr="007D2212">
              <w:rPr>
                <w:rFonts w:ascii="Arial" w:eastAsia="Times New Roman" w:hAnsi="Arial" w:cs="Arial"/>
                <w:color w:val="000000"/>
                <w:sz w:val="18"/>
                <w:szCs w:val="18"/>
              </w:rPr>
              <w:t xml:space="preserve"> stripe (Figures 4(a) and 13)</w:t>
            </w:r>
          </w:p>
        </w:tc>
        <w:tc>
          <w:tcPr>
            <w:tcW w:w="2120" w:type="dxa"/>
            <w:tcBorders>
              <w:top w:val="nil"/>
              <w:left w:val="nil"/>
              <w:bottom w:val="single" w:sz="8" w:space="0" w:color="auto"/>
              <w:right w:val="single" w:sz="8" w:space="0" w:color="auto"/>
            </w:tcBorders>
            <w:shd w:val="clear" w:color="auto" w:fill="auto"/>
            <w:vAlign w:val="center"/>
            <w:hideMark/>
          </w:tcPr>
          <w:p w14:paraId="0C7A95C6" w14:textId="63FB09C2" w:rsidR="00612969" w:rsidRPr="007D2212" w:rsidRDefault="00E97743">
            <w:pPr>
              <w:jc w:val="left"/>
              <w:rPr>
                <w:rFonts w:ascii="Arial" w:eastAsia="Times New Roman" w:hAnsi="Arial" w:cs="Arial"/>
                <w:color w:val="000000"/>
                <w:sz w:val="18"/>
                <w:szCs w:val="18"/>
              </w:rPr>
            </w:pPr>
            <w:r w:rsidRPr="007D2212">
              <w:rPr>
                <w:rStyle w:val="PleaseReviewParagraphId"/>
              </w:rPr>
              <w:t>[275]</w:t>
            </w:r>
            <w:r w:rsidRPr="007D2212">
              <w:rPr>
                <w:rFonts w:ascii="Arial" w:eastAsia="Times New Roman" w:hAnsi="Arial" w:cs="Arial"/>
                <w:color w:val="000000"/>
                <w:sz w:val="18"/>
                <w:szCs w:val="18"/>
              </w:rPr>
              <w:t>Reaching midway between anterior margin of notopleuron and anterior npl. bristle; convex (anterior margin) (Figure 13(a))</w:t>
            </w:r>
          </w:p>
        </w:tc>
        <w:tc>
          <w:tcPr>
            <w:tcW w:w="2120" w:type="dxa"/>
            <w:tcBorders>
              <w:top w:val="nil"/>
              <w:left w:val="nil"/>
              <w:bottom w:val="single" w:sz="8" w:space="0" w:color="auto"/>
              <w:right w:val="single" w:sz="8" w:space="0" w:color="auto"/>
            </w:tcBorders>
            <w:shd w:val="clear" w:color="auto" w:fill="auto"/>
            <w:vAlign w:val="center"/>
            <w:hideMark/>
          </w:tcPr>
          <w:p w14:paraId="55D092C3"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[276]</w:t>
            </w:r>
            <w:r w:rsidRPr="007D2212">
              <w:rPr>
                <w:rFonts w:ascii="Arial" w:eastAsia="Times New Roman" w:hAnsi="Arial" w:cs="Arial"/>
                <w:color w:val="000000"/>
                <w:sz w:val="18"/>
                <w:szCs w:val="18"/>
              </w:rPr>
              <w:t>Reaching midway between anterior margin of notopleuron and anterior npl. bristle; straight (anterior margin) (Figure 13(b))</w:t>
            </w:r>
          </w:p>
        </w:tc>
        <w:tc>
          <w:tcPr>
            <w:tcW w:w="2120" w:type="dxa"/>
            <w:tcBorders>
              <w:top w:val="nil"/>
              <w:left w:val="nil"/>
              <w:bottom w:val="single" w:sz="8" w:space="0" w:color="auto"/>
              <w:right w:val="single" w:sz="8" w:space="0" w:color="auto"/>
            </w:tcBorders>
            <w:shd w:val="clear" w:color="auto" w:fill="auto"/>
            <w:vAlign w:val="center"/>
            <w:hideMark/>
          </w:tcPr>
          <w:p w14:paraId="3D9B27C5"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[277]</w:t>
            </w:r>
            <w:r w:rsidRPr="007D2212">
              <w:rPr>
                <w:rFonts w:ascii="Arial" w:eastAsia="Times New Roman" w:hAnsi="Arial" w:cs="Arial"/>
                <w:color w:val="000000"/>
                <w:sz w:val="18"/>
                <w:szCs w:val="18"/>
              </w:rPr>
              <w:t>Reaching midway between anterior margin of notopleuron and anterior npl. bristle; straight to convex (anterior margin) (Figure 13(c))</w:t>
            </w:r>
          </w:p>
        </w:tc>
        <w:tc>
          <w:tcPr>
            <w:tcW w:w="2120" w:type="dxa"/>
            <w:tcBorders>
              <w:top w:val="nil"/>
              <w:left w:val="nil"/>
              <w:bottom w:val="single" w:sz="8" w:space="0" w:color="auto"/>
              <w:right w:val="single" w:sz="8" w:space="0" w:color="auto"/>
            </w:tcBorders>
            <w:shd w:val="clear" w:color="auto" w:fill="auto"/>
            <w:vAlign w:val="center"/>
            <w:hideMark/>
          </w:tcPr>
          <w:p w14:paraId="04517DB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[278]</w:t>
            </w:r>
            <w:r w:rsidRPr="007D2212">
              <w:rPr>
                <w:rFonts w:ascii="Arial" w:eastAsia="Times New Roman" w:hAnsi="Arial" w:cs="Arial"/>
                <w:color w:val="000000"/>
                <w:sz w:val="18"/>
                <w:szCs w:val="18"/>
              </w:rPr>
              <w:t>Slightly wider than notopleuron, equal in width to notopleuron; straight (anterior margin) (Figure 13(d))</w:t>
            </w:r>
          </w:p>
        </w:tc>
        <w:tc>
          <w:tcPr>
            <w:tcW w:w="2120" w:type="dxa"/>
            <w:tcBorders>
              <w:top w:val="nil"/>
              <w:left w:val="nil"/>
              <w:bottom w:val="single" w:sz="8" w:space="0" w:color="auto"/>
              <w:right w:val="single" w:sz="8" w:space="0" w:color="auto"/>
            </w:tcBorders>
            <w:shd w:val="clear" w:color="auto" w:fill="auto"/>
            <w:vAlign w:val="center"/>
            <w:hideMark/>
          </w:tcPr>
          <w:p w14:paraId="4551BF4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[279]</w:t>
            </w:r>
            <w:r w:rsidRPr="007D2212">
              <w:rPr>
                <w:rFonts w:ascii="Arial" w:eastAsia="Times New Roman" w:hAnsi="Arial" w:cs="Arial"/>
                <w:color w:val="000000"/>
                <w:sz w:val="18"/>
                <w:szCs w:val="18"/>
              </w:rPr>
              <w:t>Reaching midway between anterior margin of notopleuron and anterior npl. bristle; convex (anterior margin) (Figure 13(e))</w:t>
            </w:r>
          </w:p>
        </w:tc>
        <w:tc>
          <w:tcPr>
            <w:tcW w:w="2120" w:type="dxa"/>
            <w:tcBorders>
              <w:top w:val="nil"/>
              <w:left w:val="nil"/>
              <w:bottom w:val="single" w:sz="8" w:space="0" w:color="auto"/>
              <w:right w:val="single" w:sz="8" w:space="0" w:color="auto"/>
            </w:tcBorders>
            <w:shd w:val="clear" w:color="auto" w:fill="auto"/>
            <w:vAlign w:val="center"/>
            <w:hideMark/>
          </w:tcPr>
          <w:p w14:paraId="6C251901"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[280]</w:t>
            </w:r>
            <w:r w:rsidRPr="007D2212">
              <w:rPr>
                <w:rFonts w:ascii="Arial" w:eastAsia="Times New Roman" w:hAnsi="Arial" w:cs="Arial"/>
                <w:color w:val="000000"/>
                <w:sz w:val="18"/>
                <w:szCs w:val="18"/>
              </w:rPr>
              <w:t>Equal in width to notopleuron; convex (anterior margin) (Figure 13(f))</w:t>
            </w:r>
          </w:p>
        </w:tc>
      </w:tr>
      <w:tr w:rsidR="00612969" w:rsidRPr="007D2212" w14:paraId="439EA20E" w14:textId="77777777">
        <w:trPr>
          <w:trHeight w:val="924"/>
        </w:trPr>
        <w:tc>
          <w:tcPr>
            <w:tcW w:w="1360" w:type="dxa"/>
            <w:tcBorders>
              <w:top w:val="nil"/>
              <w:left w:val="single" w:sz="8" w:space="0" w:color="auto"/>
              <w:bottom w:val="single" w:sz="8" w:space="0" w:color="auto"/>
              <w:right w:val="single" w:sz="8" w:space="0" w:color="auto"/>
            </w:tcBorders>
            <w:shd w:val="clear" w:color="auto" w:fill="auto"/>
            <w:vAlign w:val="center"/>
            <w:hideMark/>
          </w:tcPr>
          <w:p w14:paraId="5667F851"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[281]</w:t>
            </w:r>
            <w:r w:rsidRPr="007D2212">
              <w:rPr>
                <w:rFonts w:ascii="Arial" w:eastAsia="Times New Roman" w:hAnsi="Arial" w:cs="Arial"/>
                <w:color w:val="000000"/>
                <w:sz w:val="18"/>
                <w:szCs w:val="18"/>
              </w:rPr>
              <w:t>Basal band of scutellum (Figures 10 and 12)</w:t>
            </w:r>
          </w:p>
        </w:tc>
        <w:tc>
          <w:tcPr>
            <w:tcW w:w="2120" w:type="dxa"/>
            <w:tcBorders>
              <w:top w:val="nil"/>
              <w:left w:val="nil"/>
              <w:bottom w:val="single" w:sz="8" w:space="0" w:color="auto"/>
              <w:right w:val="single" w:sz="8" w:space="0" w:color="auto"/>
            </w:tcBorders>
            <w:shd w:val="clear" w:color="auto" w:fill="auto"/>
            <w:vAlign w:val="center"/>
            <w:hideMark/>
          </w:tcPr>
          <w:p w14:paraId="6DAE2BF7"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[282]</w:t>
            </w:r>
            <w:r w:rsidRPr="007D2212">
              <w:rPr>
                <w:rFonts w:ascii="Arial" w:eastAsia="Times New Roman" w:hAnsi="Arial" w:cs="Arial"/>
                <w:color w:val="000000"/>
                <w:sz w:val="18"/>
                <w:szCs w:val="18"/>
              </w:rPr>
              <w:t>Narrow (Figure 12(a))</w:t>
            </w:r>
          </w:p>
        </w:tc>
        <w:tc>
          <w:tcPr>
            <w:tcW w:w="2120" w:type="dxa"/>
            <w:tcBorders>
              <w:top w:val="nil"/>
              <w:left w:val="nil"/>
              <w:bottom w:val="single" w:sz="8" w:space="0" w:color="auto"/>
              <w:right w:val="single" w:sz="8" w:space="0" w:color="auto"/>
            </w:tcBorders>
            <w:shd w:val="clear" w:color="auto" w:fill="auto"/>
            <w:vAlign w:val="center"/>
            <w:hideMark/>
          </w:tcPr>
          <w:p w14:paraId="4DD99C30"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[283]</w:t>
            </w:r>
            <w:r w:rsidRPr="007D2212">
              <w:rPr>
                <w:rFonts w:ascii="Arial" w:eastAsia="Times New Roman" w:hAnsi="Arial" w:cs="Arial"/>
                <w:color w:val="000000"/>
                <w:sz w:val="18"/>
                <w:szCs w:val="18"/>
              </w:rPr>
              <w:t>Moderately broad (Figure 12(b))</w:t>
            </w:r>
          </w:p>
        </w:tc>
        <w:tc>
          <w:tcPr>
            <w:tcW w:w="2120" w:type="dxa"/>
            <w:tcBorders>
              <w:top w:val="nil"/>
              <w:left w:val="nil"/>
              <w:bottom w:val="single" w:sz="8" w:space="0" w:color="auto"/>
              <w:right w:val="single" w:sz="8" w:space="0" w:color="auto"/>
            </w:tcBorders>
            <w:shd w:val="clear" w:color="auto" w:fill="auto"/>
            <w:vAlign w:val="center"/>
            <w:hideMark/>
          </w:tcPr>
          <w:p w14:paraId="3049C836"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[284]</w:t>
            </w:r>
            <w:r w:rsidRPr="007D2212">
              <w:rPr>
                <w:rFonts w:ascii="Arial" w:eastAsia="Times New Roman" w:hAnsi="Arial" w:cs="Arial"/>
                <w:color w:val="000000"/>
                <w:sz w:val="18"/>
                <w:szCs w:val="18"/>
              </w:rPr>
              <w:t>Narrow (Figure 12(c))</w:t>
            </w:r>
          </w:p>
        </w:tc>
        <w:tc>
          <w:tcPr>
            <w:tcW w:w="2120" w:type="dxa"/>
            <w:tcBorders>
              <w:top w:val="nil"/>
              <w:left w:val="nil"/>
              <w:bottom w:val="single" w:sz="8" w:space="0" w:color="auto"/>
              <w:right w:val="single" w:sz="8" w:space="0" w:color="auto"/>
            </w:tcBorders>
            <w:shd w:val="clear" w:color="auto" w:fill="auto"/>
            <w:vAlign w:val="center"/>
            <w:hideMark/>
          </w:tcPr>
          <w:p w14:paraId="1992933D"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[285]</w:t>
            </w:r>
            <w:r w:rsidRPr="007D2212">
              <w:rPr>
                <w:rFonts w:ascii="Arial" w:eastAsia="Times New Roman" w:hAnsi="Arial" w:cs="Arial"/>
                <w:color w:val="000000"/>
                <w:sz w:val="18"/>
                <w:szCs w:val="18"/>
              </w:rPr>
              <w:t>Narrow (Figure 12(d))</w:t>
            </w:r>
          </w:p>
        </w:tc>
        <w:tc>
          <w:tcPr>
            <w:tcW w:w="2120" w:type="dxa"/>
            <w:tcBorders>
              <w:top w:val="nil"/>
              <w:left w:val="nil"/>
              <w:bottom w:val="single" w:sz="8" w:space="0" w:color="auto"/>
              <w:right w:val="single" w:sz="8" w:space="0" w:color="auto"/>
            </w:tcBorders>
            <w:shd w:val="clear" w:color="auto" w:fill="auto"/>
            <w:vAlign w:val="center"/>
            <w:hideMark/>
          </w:tcPr>
          <w:p w14:paraId="272759E9"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[286]</w:t>
            </w:r>
            <w:r w:rsidRPr="007D2212">
              <w:rPr>
                <w:rFonts w:ascii="Arial" w:eastAsia="Times New Roman" w:hAnsi="Arial" w:cs="Arial"/>
                <w:color w:val="000000"/>
                <w:sz w:val="18"/>
                <w:szCs w:val="18"/>
              </w:rPr>
              <w:t>Narrow (Figure 12(e))</w:t>
            </w:r>
          </w:p>
        </w:tc>
        <w:tc>
          <w:tcPr>
            <w:tcW w:w="2120" w:type="dxa"/>
            <w:tcBorders>
              <w:top w:val="nil"/>
              <w:left w:val="nil"/>
              <w:bottom w:val="single" w:sz="8" w:space="0" w:color="auto"/>
              <w:right w:val="single" w:sz="8" w:space="0" w:color="auto"/>
            </w:tcBorders>
            <w:shd w:val="clear" w:color="auto" w:fill="auto"/>
            <w:vAlign w:val="center"/>
            <w:hideMark/>
          </w:tcPr>
          <w:p w14:paraId="2BB115D0"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[287]</w:t>
            </w:r>
            <w:r w:rsidRPr="007D2212">
              <w:rPr>
                <w:rFonts w:ascii="Arial" w:eastAsia="Times New Roman" w:hAnsi="Arial" w:cs="Arial"/>
                <w:color w:val="000000"/>
                <w:sz w:val="18"/>
                <w:szCs w:val="18"/>
              </w:rPr>
              <w:t>Narrow (Figure 12(f))</w:t>
            </w:r>
          </w:p>
        </w:tc>
      </w:tr>
      <w:tr w:rsidR="00612969" w:rsidRPr="007D2212" w14:paraId="1EFB42EE" w14:textId="77777777">
        <w:trPr>
          <w:trHeight w:val="1380"/>
        </w:trPr>
        <w:tc>
          <w:tcPr>
            <w:tcW w:w="1360" w:type="dxa"/>
            <w:tcBorders>
              <w:top w:val="nil"/>
              <w:left w:val="single" w:sz="8" w:space="0" w:color="auto"/>
              <w:bottom w:val="single" w:sz="8" w:space="0" w:color="auto"/>
              <w:right w:val="single" w:sz="8" w:space="0" w:color="auto"/>
            </w:tcBorders>
            <w:shd w:val="clear" w:color="auto" w:fill="auto"/>
            <w:vAlign w:val="center"/>
            <w:hideMark/>
          </w:tcPr>
          <w:p w14:paraId="37BBD697"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[288]</w:t>
            </w:r>
            <w:r w:rsidRPr="007D2212">
              <w:rPr>
                <w:rFonts w:ascii="Arial" w:eastAsia="Times New Roman" w:hAnsi="Arial" w:cs="Arial"/>
                <w:color w:val="000000"/>
                <w:sz w:val="18"/>
                <w:szCs w:val="18"/>
              </w:rPr>
              <w:t>Lateral vittae (Figures 3, 4, 10)</w:t>
            </w:r>
          </w:p>
        </w:tc>
        <w:tc>
          <w:tcPr>
            <w:tcW w:w="2120" w:type="dxa"/>
            <w:tcBorders>
              <w:top w:val="nil"/>
              <w:left w:val="nil"/>
              <w:bottom w:val="single" w:sz="8" w:space="0" w:color="auto"/>
              <w:right w:val="single" w:sz="8" w:space="0" w:color="auto"/>
            </w:tcBorders>
            <w:shd w:val="clear" w:color="auto" w:fill="auto"/>
            <w:vAlign w:val="center"/>
            <w:hideMark/>
          </w:tcPr>
          <w:p w14:paraId="3C244116"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[289]</w:t>
            </w:r>
            <w:r w:rsidRPr="007D2212">
              <w:rPr>
                <w:rFonts w:ascii="Arial" w:eastAsia="Times New Roman" w:hAnsi="Arial" w:cs="Arial"/>
                <w:color w:val="000000"/>
                <w:sz w:val="18"/>
                <w:szCs w:val="18"/>
              </w:rPr>
              <w:t>Broad, parallel-sided, ending at or behind ia. bristles (Figure 3(a))</w:t>
            </w:r>
          </w:p>
        </w:tc>
        <w:tc>
          <w:tcPr>
            <w:tcW w:w="2120" w:type="dxa"/>
            <w:tcBorders>
              <w:top w:val="nil"/>
              <w:left w:val="nil"/>
              <w:bottom w:val="single" w:sz="8" w:space="0" w:color="auto"/>
              <w:right w:val="single" w:sz="8" w:space="0" w:color="auto"/>
            </w:tcBorders>
            <w:shd w:val="clear" w:color="auto" w:fill="auto"/>
            <w:vAlign w:val="center"/>
            <w:hideMark/>
          </w:tcPr>
          <w:p w14:paraId="55E1C7DA"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[290]</w:t>
            </w:r>
            <w:r w:rsidRPr="007D2212">
              <w:rPr>
                <w:rFonts w:ascii="Arial" w:eastAsia="Times New Roman" w:hAnsi="Arial" w:cs="Arial"/>
                <w:color w:val="000000"/>
                <w:sz w:val="18"/>
                <w:szCs w:val="18"/>
              </w:rPr>
              <w:t>Very narrow; either entirely parallel-sided or narrowing posteriorly; ending at or just before ia. bristles (Figure 3(b))</w:t>
            </w:r>
          </w:p>
        </w:tc>
        <w:tc>
          <w:tcPr>
            <w:tcW w:w="2120" w:type="dxa"/>
            <w:tcBorders>
              <w:top w:val="nil"/>
              <w:left w:val="nil"/>
              <w:bottom w:val="single" w:sz="8" w:space="0" w:color="auto"/>
              <w:right w:val="single" w:sz="8" w:space="0" w:color="auto"/>
            </w:tcBorders>
            <w:shd w:val="clear" w:color="auto" w:fill="auto"/>
            <w:vAlign w:val="center"/>
            <w:hideMark/>
          </w:tcPr>
          <w:p w14:paraId="51BCCE63"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[291]</w:t>
            </w:r>
            <w:r w:rsidRPr="007D2212">
              <w:rPr>
                <w:rFonts w:ascii="Arial" w:eastAsia="Times New Roman" w:hAnsi="Arial" w:cs="Arial"/>
                <w:color w:val="000000"/>
                <w:sz w:val="18"/>
                <w:szCs w:val="18"/>
              </w:rPr>
              <w:t>Narrow to broad (inter-regionally variable), parallel-sided, ending at or just behind ia. bristles (Figure 3(c))</w:t>
            </w:r>
          </w:p>
        </w:tc>
        <w:tc>
          <w:tcPr>
            <w:tcW w:w="2120" w:type="dxa"/>
            <w:tcBorders>
              <w:top w:val="nil"/>
              <w:left w:val="nil"/>
              <w:bottom w:val="single" w:sz="8" w:space="0" w:color="auto"/>
              <w:right w:val="single" w:sz="8" w:space="0" w:color="auto"/>
            </w:tcBorders>
            <w:shd w:val="clear" w:color="auto" w:fill="auto"/>
            <w:vAlign w:val="center"/>
            <w:hideMark/>
          </w:tcPr>
          <w:p w14:paraId="53467DC9"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[292]</w:t>
            </w:r>
            <w:r w:rsidRPr="007D2212">
              <w:rPr>
                <w:rFonts w:ascii="Arial" w:eastAsia="Times New Roman" w:hAnsi="Arial" w:cs="Arial"/>
                <w:color w:val="000000"/>
                <w:sz w:val="18"/>
                <w:szCs w:val="18"/>
              </w:rPr>
              <w:t>Narrow, parallel-sided, ending at ia. bristles (Figure 3(d))</w:t>
            </w:r>
          </w:p>
        </w:tc>
        <w:tc>
          <w:tcPr>
            <w:tcW w:w="2120" w:type="dxa"/>
            <w:tcBorders>
              <w:top w:val="nil"/>
              <w:left w:val="nil"/>
              <w:bottom w:val="single" w:sz="8" w:space="0" w:color="auto"/>
              <w:right w:val="single" w:sz="8" w:space="0" w:color="auto"/>
            </w:tcBorders>
            <w:shd w:val="clear" w:color="auto" w:fill="auto"/>
            <w:vAlign w:val="center"/>
            <w:hideMark/>
          </w:tcPr>
          <w:p w14:paraId="52546F58" w14:textId="30B251FC" w:rsidR="00612969" w:rsidRPr="007D2212" w:rsidRDefault="00E97743">
            <w:pPr>
              <w:jc w:val="left"/>
              <w:rPr>
                <w:rFonts w:ascii="Arial" w:eastAsia="Times New Roman" w:hAnsi="Arial" w:cs="Arial"/>
                <w:color w:val="000000"/>
                <w:sz w:val="18"/>
                <w:szCs w:val="18"/>
              </w:rPr>
            </w:pPr>
            <w:r w:rsidRPr="007D2212">
              <w:rPr>
                <w:rStyle w:val="PleaseReviewParagraphId"/>
              </w:rPr>
              <w:t>[293]</w:t>
            </w:r>
            <w:r w:rsidRPr="007D2212">
              <w:rPr>
                <w:rFonts w:ascii="Arial" w:eastAsia="Times New Roman" w:hAnsi="Arial" w:cs="Arial"/>
                <w:color w:val="000000"/>
                <w:sz w:val="18"/>
                <w:szCs w:val="18"/>
              </w:rPr>
              <w:t>Broad, parallel- or subparallel-sided; either ending at ia. bristles or (in some specimens) ending behind ia. bristles (Figure 3(e))</w:t>
            </w:r>
          </w:p>
        </w:tc>
        <w:tc>
          <w:tcPr>
            <w:tcW w:w="2120" w:type="dxa"/>
            <w:tcBorders>
              <w:top w:val="nil"/>
              <w:left w:val="nil"/>
              <w:bottom w:val="single" w:sz="8" w:space="0" w:color="auto"/>
              <w:right w:val="single" w:sz="8" w:space="0" w:color="auto"/>
            </w:tcBorders>
            <w:shd w:val="clear" w:color="auto" w:fill="auto"/>
            <w:vAlign w:val="center"/>
            <w:hideMark/>
          </w:tcPr>
          <w:p w14:paraId="0C406F52" w14:textId="440009B6" w:rsidR="00612969" w:rsidRPr="007D2212" w:rsidRDefault="00E97743">
            <w:pPr>
              <w:jc w:val="left"/>
              <w:rPr>
                <w:rFonts w:ascii="Arial" w:eastAsia="Times New Roman" w:hAnsi="Arial" w:cs="Arial"/>
                <w:color w:val="000000"/>
                <w:sz w:val="18"/>
                <w:szCs w:val="18"/>
              </w:rPr>
            </w:pPr>
            <w:r w:rsidRPr="007D2212">
              <w:rPr>
                <w:rStyle w:val="PleaseReviewParagraphId"/>
              </w:rPr>
              <w:t>[294]</w:t>
            </w:r>
            <w:r w:rsidRPr="007D2212">
              <w:rPr>
                <w:rFonts w:ascii="Arial" w:eastAsia="Times New Roman" w:hAnsi="Arial" w:cs="Arial"/>
                <w:color w:val="000000"/>
                <w:sz w:val="18"/>
                <w:szCs w:val="18"/>
              </w:rPr>
              <w:t>Narrow; either subparallel-sided and ending before ia. bristles or (in some specimens) parallel-sided and ending at ia. bristles (Figure 3(f))</w:t>
            </w:r>
          </w:p>
        </w:tc>
      </w:tr>
    </w:tbl>
    <w:p w14:paraId="28436966" w14:textId="77777777" w:rsidR="00612969" w:rsidRPr="007D2212" w:rsidRDefault="00E97743">
      <w:pPr>
        <w:pStyle w:val="IPPParagraphnumbering"/>
        <w:numPr>
          <w:ilvl w:val="0"/>
          <w:numId w:val="0"/>
        </w:numPr>
        <w:rPr>
          <w:rFonts w:eastAsiaTheme="minorEastAsia"/>
          <w:b/>
          <w:color w:val="000000"/>
          <w:lang w:val="en-GB" w:eastAsia="ja-JP"/>
        </w:rPr>
      </w:pPr>
      <w:r w:rsidRPr="007D2212">
        <w:rPr>
          <w:rStyle w:val="PleaseReviewParagraphId"/>
          <w:lang w:val="en-GB"/>
        </w:rPr>
        <w:t>[295]</w:t>
      </w:r>
      <w:r w:rsidRPr="007D2212">
        <w:rPr>
          <w:rFonts w:eastAsiaTheme="minorEastAsia"/>
          <w:b/>
          <w:color w:val="000000"/>
          <w:lang w:val="en-GB" w:eastAsia="ja-JP"/>
        </w:rPr>
        <w:br w:type="page"/>
      </w:r>
    </w:p>
    <w:p w14:paraId="3D2F25BA" w14:textId="77777777" w:rsidR="00612969" w:rsidRPr="007D2212" w:rsidRDefault="00E97743">
      <w:pPr>
        <w:pStyle w:val="IPPParagraphnumbering"/>
        <w:numPr>
          <w:ilvl w:val="0"/>
          <w:numId w:val="0"/>
        </w:numPr>
        <w:rPr>
          <w:rFonts w:eastAsiaTheme="minorEastAsia"/>
          <w:b/>
          <w:color w:val="000000"/>
          <w:lang w:val="en-GB" w:eastAsia="ja-JP"/>
        </w:rPr>
      </w:pPr>
      <w:r w:rsidRPr="007D2212">
        <w:rPr>
          <w:rStyle w:val="PleaseReviewParagraphId"/>
          <w:lang w:val="en-GB"/>
        </w:rPr>
        <w:lastRenderedPageBreak/>
        <w:t>[296]</w:t>
      </w:r>
      <w:r w:rsidRPr="007D2212">
        <w:rPr>
          <w:rFonts w:eastAsiaTheme="minorEastAsia"/>
          <w:b/>
          <w:color w:val="000000"/>
          <w:lang w:val="en-GB" w:eastAsia="ja-JP"/>
        </w:rPr>
        <w:t>Table 3 (Continued)</w:t>
      </w:r>
    </w:p>
    <w:tbl>
      <w:tblPr>
        <w:tblW w:w="14000" w:type="dxa"/>
        <w:tblLook w:val="04A0" w:firstRow="1" w:lastRow="0" w:firstColumn="1" w:lastColumn="0" w:noHBand="0" w:noVBand="1"/>
      </w:tblPr>
      <w:tblGrid>
        <w:gridCol w:w="1424"/>
        <w:gridCol w:w="2120"/>
        <w:gridCol w:w="2120"/>
        <w:gridCol w:w="2120"/>
        <w:gridCol w:w="2120"/>
        <w:gridCol w:w="2120"/>
        <w:gridCol w:w="2120"/>
      </w:tblGrid>
      <w:tr w:rsidR="00612969" w:rsidRPr="007D2212" w14:paraId="1614AE9D" w14:textId="77777777" w:rsidTr="00A4522D">
        <w:trPr>
          <w:trHeight w:val="300"/>
        </w:trPr>
        <w:tc>
          <w:tcPr>
            <w:tcW w:w="1280" w:type="dxa"/>
            <w:tcBorders>
              <w:top w:val="single" w:sz="8" w:space="0" w:color="auto"/>
              <w:left w:val="single" w:sz="8" w:space="0" w:color="auto"/>
              <w:bottom w:val="single" w:sz="8" w:space="0" w:color="auto"/>
              <w:right w:val="single" w:sz="8" w:space="0" w:color="auto"/>
            </w:tcBorders>
            <w:shd w:val="clear" w:color="auto" w:fill="BFBFBF" w:themeFill="background1" w:themeFillShade="BF"/>
            <w:noWrap/>
            <w:vAlign w:val="bottom"/>
            <w:hideMark/>
          </w:tcPr>
          <w:p w14:paraId="54C728D6" w14:textId="77777777" w:rsidR="00612969" w:rsidRPr="007D2212" w:rsidRDefault="00E97743">
            <w:pPr>
              <w:jc w:val="left"/>
              <w:rPr>
                <w:rFonts w:ascii="Calibri" w:eastAsia="Times New Roman" w:hAnsi="Calibri"/>
                <w:b/>
                <w:bCs/>
                <w:color w:val="000000"/>
                <w:szCs w:val="22"/>
              </w:rPr>
            </w:pPr>
            <w:r w:rsidRPr="007D2212">
              <w:rPr>
                <w:rStyle w:val="PleaseReviewParagraphId"/>
              </w:rPr>
              <w:t>[297]</w:t>
            </w:r>
            <w:r w:rsidRPr="007D2212">
              <w:rPr>
                <w:rFonts w:ascii="Calibri" w:eastAsia="Times New Roman" w:hAnsi="Calibri"/>
                <w:b/>
                <w:bCs/>
                <w:color w:val="000000"/>
                <w:szCs w:val="22"/>
              </w:rPr>
              <w:t>Structure</w:t>
            </w:r>
          </w:p>
        </w:tc>
        <w:tc>
          <w:tcPr>
            <w:tcW w:w="12720" w:type="dxa"/>
            <w:gridSpan w:val="6"/>
            <w:tcBorders>
              <w:top w:val="single" w:sz="8" w:space="0" w:color="auto"/>
              <w:left w:val="nil"/>
              <w:bottom w:val="single" w:sz="8" w:space="0" w:color="auto"/>
              <w:right w:val="single" w:sz="8" w:space="0" w:color="000000"/>
            </w:tcBorders>
            <w:shd w:val="clear" w:color="auto" w:fill="BFBFBF" w:themeFill="background1" w:themeFillShade="BF"/>
            <w:noWrap/>
            <w:vAlign w:val="bottom"/>
            <w:hideMark/>
          </w:tcPr>
          <w:p w14:paraId="77767287" w14:textId="77777777" w:rsidR="00612969" w:rsidRPr="007D2212" w:rsidRDefault="00E97743">
            <w:pPr>
              <w:jc w:val="center"/>
              <w:rPr>
                <w:rFonts w:ascii="Calibri" w:eastAsia="Times New Roman" w:hAnsi="Calibri"/>
                <w:b/>
                <w:bCs/>
                <w:color w:val="000000"/>
                <w:szCs w:val="22"/>
              </w:rPr>
            </w:pPr>
            <w:r w:rsidRPr="007D2212">
              <w:rPr>
                <w:rStyle w:val="PleaseReviewParagraphId"/>
              </w:rPr>
              <w:t>[298]</w:t>
            </w:r>
            <w:r w:rsidRPr="007D2212">
              <w:rPr>
                <w:rFonts w:ascii="Calibri" w:eastAsia="Times New Roman" w:hAnsi="Calibri"/>
                <w:b/>
                <w:bCs/>
                <w:color w:val="000000"/>
                <w:szCs w:val="22"/>
              </w:rPr>
              <w:t>Species</w:t>
            </w:r>
          </w:p>
        </w:tc>
      </w:tr>
      <w:tr w:rsidR="00612969" w:rsidRPr="007D2212" w14:paraId="35B70DC6" w14:textId="77777777">
        <w:trPr>
          <w:trHeight w:val="588"/>
        </w:trPr>
        <w:tc>
          <w:tcPr>
            <w:tcW w:w="1280" w:type="dxa"/>
            <w:tcBorders>
              <w:top w:val="nil"/>
              <w:left w:val="single" w:sz="8" w:space="0" w:color="auto"/>
              <w:bottom w:val="single" w:sz="8" w:space="0" w:color="auto"/>
              <w:right w:val="single" w:sz="8" w:space="0" w:color="auto"/>
            </w:tcBorders>
            <w:shd w:val="clear" w:color="auto" w:fill="auto"/>
            <w:noWrap/>
            <w:vAlign w:val="bottom"/>
            <w:hideMark/>
          </w:tcPr>
          <w:p w14:paraId="327B8365" w14:textId="77777777" w:rsidR="00612969" w:rsidRPr="007D2212" w:rsidRDefault="00E97743">
            <w:pPr>
              <w:jc w:val="left"/>
              <w:rPr>
                <w:rFonts w:ascii="Calibri" w:eastAsia="Times New Roman" w:hAnsi="Calibri"/>
                <w:color w:val="000000"/>
                <w:szCs w:val="22"/>
              </w:rPr>
            </w:pPr>
            <w:r w:rsidRPr="007D2212">
              <w:rPr>
                <w:rStyle w:val="PleaseReviewParagraphId"/>
              </w:rPr>
              <w:t>[299]</w:t>
            </w:r>
            <w:r w:rsidRPr="007D2212">
              <w:rPr>
                <w:rFonts w:ascii="Calibri" w:eastAsia="Times New Roman" w:hAnsi="Calibri"/>
                <w:color w:val="000000"/>
                <w:szCs w:val="22"/>
              </w:rPr>
              <w:t> </w:t>
            </w:r>
          </w:p>
        </w:tc>
        <w:tc>
          <w:tcPr>
            <w:tcW w:w="2120" w:type="dxa"/>
            <w:tcBorders>
              <w:top w:val="nil"/>
              <w:left w:val="nil"/>
              <w:bottom w:val="single" w:sz="8" w:space="0" w:color="auto"/>
              <w:right w:val="single" w:sz="8" w:space="0" w:color="auto"/>
            </w:tcBorders>
            <w:shd w:val="clear" w:color="auto" w:fill="auto"/>
            <w:hideMark/>
          </w:tcPr>
          <w:p w14:paraId="476C82AC" w14:textId="77777777" w:rsidR="00612969" w:rsidRPr="007D2212" w:rsidRDefault="00E97743">
            <w:pPr>
              <w:jc w:val="left"/>
              <w:rPr>
                <w:rFonts w:ascii="Calibri" w:eastAsia="Times New Roman" w:hAnsi="Calibri"/>
                <w:i/>
                <w:iCs/>
                <w:color w:val="000000"/>
                <w:szCs w:val="22"/>
              </w:rPr>
            </w:pPr>
            <w:r w:rsidRPr="007D2212">
              <w:rPr>
                <w:rStyle w:val="PleaseReviewParagraphId"/>
              </w:rPr>
              <w:t>[300]</w:t>
            </w:r>
            <w:r w:rsidRPr="007D2212">
              <w:rPr>
                <w:rFonts w:ascii="Calibri" w:eastAsia="Times New Roman" w:hAnsi="Calibri"/>
                <w:i/>
                <w:iCs/>
                <w:color w:val="000000"/>
                <w:szCs w:val="22"/>
              </w:rPr>
              <w:t>Bactrocera carambolae</w:t>
            </w:r>
          </w:p>
        </w:tc>
        <w:tc>
          <w:tcPr>
            <w:tcW w:w="2120" w:type="dxa"/>
            <w:tcBorders>
              <w:top w:val="nil"/>
              <w:left w:val="nil"/>
              <w:bottom w:val="single" w:sz="8" w:space="0" w:color="auto"/>
              <w:right w:val="single" w:sz="8" w:space="0" w:color="auto"/>
            </w:tcBorders>
            <w:shd w:val="clear" w:color="auto" w:fill="auto"/>
            <w:hideMark/>
          </w:tcPr>
          <w:p w14:paraId="28DDD72E" w14:textId="77777777" w:rsidR="00612969" w:rsidRPr="007D2212" w:rsidRDefault="00E97743">
            <w:pPr>
              <w:jc w:val="left"/>
              <w:rPr>
                <w:rFonts w:ascii="Calibri" w:eastAsia="Times New Roman" w:hAnsi="Calibri"/>
                <w:i/>
                <w:iCs/>
                <w:color w:val="000000"/>
                <w:szCs w:val="22"/>
              </w:rPr>
            </w:pPr>
            <w:r w:rsidRPr="007D2212">
              <w:rPr>
                <w:rStyle w:val="PleaseReviewParagraphId"/>
              </w:rPr>
              <w:t>[301]</w:t>
            </w:r>
            <w:r w:rsidRPr="007D2212">
              <w:rPr>
                <w:rFonts w:ascii="Calibri" w:eastAsia="Times New Roman" w:hAnsi="Calibri"/>
                <w:i/>
                <w:iCs/>
                <w:color w:val="000000"/>
                <w:szCs w:val="22"/>
              </w:rPr>
              <w:t>Bactrocera caryeae</w:t>
            </w:r>
          </w:p>
        </w:tc>
        <w:tc>
          <w:tcPr>
            <w:tcW w:w="2120" w:type="dxa"/>
            <w:tcBorders>
              <w:top w:val="nil"/>
              <w:left w:val="nil"/>
              <w:bottom w:val="single" w:sz="8" w:space="0" w:color="auto"/>
              <w:right w:val="single" w:sz="8" w:space="0" w:color="auto"/>
            </w:tcBorders>
            <w:shd w:val="clear" w:color="auto" w:fill="auto"/>
            <w:hideMark/>
          </w:tcPr>
          <w:p w14:paraId="6194B941" w14:textId="77777777" w:rsidR="00612969" w:rsidRPr="007D2212" w:rsidRDefault="00E97743">
            <w:pPr>
              <w:jc w:val="left"/>
              <w:rPr>
                <w:rFonts w:ascii="Calibri" w:eastAsia="Times New Roman" w:hAnsi="Calibri"/>
                <w:i/>
                <w:iCs/>
                <w:color w:val="000000"/>
                <w:szCs w:val="22"/>
              </w:rPr>
            </w:pPr>
            <w:r w:rsidRPr="007D2212">
              <w:rPr>
                <w:rStyle w:val="PleaseReviewParagraphId"/>
              </w:rPr>
              <w:t>[302]</w:t>
            </w:r>
            <w:r w:rsidRPr="007D2212">
              <w:rPr>
                <w:rFonts w:ascii="Calibri" w:eastAsia="Times New Roman" w:hAnsi="Calibri"/>
                <w:i/>
                <w:iCs/>
                <w:color w:val="000000"/>
                <w:szCs w:val="22"/>
              </w:rPr>
              <w:t>Bactrocera dorsalis</w:t>
            </w:r>
            <w:r w:rsidRPr="007D2212">
              <w:rPr>
                <w:rFonts w:ascii="Calibri" w:eastAsia="Times New Roman" w:hAnsi="Calibri"/>
                <w:color w:val="000000"/>
                <w:szCs w:val="22"/>
              </w:rPr>
              <w:t xml:space="preserve"> </w:t>
            </w:r>
            <w:r w:rsidRPr="00A4522D">
              <w:rPr>
                <w:rFonts w:ascii="Calibri" w:eastAsia="Times New Roman" w:hAnsi="Calibri"/>
                <w:i/>
                <w:color w:val="000000"/>
                <w:szCs w:val="22"/>
              </w:rPr>
              <w:t>s.l.</w:t>
            </w:r>
          </w:p>
        </w:tc>
        <w:tc>
          <w:tcPr>
            <w:tcW w:w="2120" w:type="dxa"/>
            <w:tcBorders>
              <w:top w:val="nil"/>
              <w:left w:val="nil"/>
              <w:bottom w:val="single" w:sz="8" w:space="0" w:color="auto"/>
              <w:right w:val="single" w:sz="8" w:space="0" w:color="auto"/>
            </w:tcBorders>
            <w:shd w:val="clear" w:color="auto" w:fill="auto"/>
            <w:hideMark/>
          </w:tcPr>
          <w:p w14:paraId="2193DFA3" w14:textId="77777777" w:rsidR="00612969" w:rsidRPr="007D2212" w:rsidRDefault="00E97743">
            <w:pPr>
              <w:jc w:val="left"/>
              <w:rPr>
                <w:rFonts w:ascii="Calibri" w:eastAsia="Times New Roman" w:hAnsi="Calibri"/>
                <w:i/>
                <w:iCs/>
                <w:color w:val="000000"/>
                <w:szCs w:val="22"/>
              </w:rPr>
            </w:pPr>
            <w:r w:rsidRPr="007D2212">
              <w:rPr>
                <w:rStyle w:val="PleaseReviewParagraphId"/>
              </w:rPr>
              <w:t>[303]</w:t>
            </w:r>
            <w:r w:rsidRPr="007D2212">
              <w:rPr>
                <w:rFonts w:ascii="Calibri" w:eastAsia="Times New Roman" w:hAnsi="Calibri"/>
                <w:i/>
                <w:iCs/>
                <w:color w:val="000000"/>
                <w:szCs w:val="22"/>
              </w:rPr>
              <w:t>Bactrocera kandiensis</w:t>
            </w:r>
          </w:p>
        </w:tc>
        <w:tc>
          <w:tcPr>
            <w:tcW w:w="2120" w:type="dxa"/>
            <w:tcBorders>
              <w:top w:val="nil"/>
              <w:left w:val="nil"/>
              <w:bottom w:val="single" w:sz="8" w:space="0" w:color="auto"/>
              <w:right w:val="single" w:sz="8" w:space="0" w:color="auto"/>
            </w:tcBorders>
            <w:shd w:val="clear" w:color="auto" w:fill="auto"/>
            <w:hideMark/>
          </w:tcPr>
          <w:p w14:paraId="40F72EB5" w14:textId="77777777" w:rsidR="00612969" w:rsidRPr="007D2212" w:rsidRDefault="00E97743">
            <w:pPr>
              <w:jc w:val="left"/>
              <w:rPr>
                <w:rFonts w:ascii="Calibri" w:eastAsia="Times New Roman" w:hAnsi="Calibri"/>
                <w:i/>
                <w:iCs/>
                <w:color w:val="000000"/>
                <w:szCs w:val="22"/>
              </w:rPr>
            </w:pPr>
            <w:r w:rsidRPr="007D2212">
              <w:rPr>
                <w:rStyle w:val="PleaseReviewParagraphId"/>
              </w:rPr>
              <w:t>[304]</w:t>
            </w:r>
            <w:r w:rsidRPr="007D2212">
              <w:rPr>
                <w:rFonts w:ascii="Calibri" w:eastAsia="Times New Roman" w:hAnsi="Calibri"/>
                <w:i/>
                <w:iCs/>
                <w:color w:val="000000"/>
                <w:szCs w:val="22"/>
              </w:rPr>
              <w:t>Bactrocera occipitalis</w:t>
            </w:r>
          </w:p>
        </w:tc>
        <w:tc>
          <w:tcPr>
            <w:tcW w:w="2120" w:type="dxa"/>
            <w:tcBorders>
              <w:top w:val="nil"/>
              <w:left w:val="nil"/>
              <w:bottom w:val="single" w:sz="8" w:space="0" w:color="auto"/>
              <w:right w:val="single" w:sz="8" w:space="0" w:color="auto"/>
            </w:tcBorders>
            <w:shd w:val="clear" w:color="auto" w:fill="auto"/>
            <w:hideMark/>
          </w:tcPr>
          <w:p w14:paraId="65C79BF6" w14:textId="77777777" w:rsidR="00612969" w:rsidRPr="007D2212" w:rsidRDefault="00E97743">
            <w:pPr>
              <w:jc w:val="left"/>
              <w:rPr>
                <w:rFonts w:ascii="Calibri" w:eastAsia="Times New Roman" w:hAnsi="Calibri"/>
                <w:i/>
                <w:iCs/>
                <w:color w:val="000000"/>
                <w:szCs w:val="22"/>
              </w:rPr>
            </w:pPr>
            <w:r w:rsidRPr="007D2212">
              <w:rPr>
                <w:rStyle w:val="PleaseReviewParagraphId"/>
              </w:rPr>
              <w:t>[305]</w:t>
            </w:r>
            <w:r w:rsidRPr="007D2212">
              <w:rPr>
                <w:rFonts w:ascii="Calibri" w:eastAsia="Times New Roman" w:hAnsi="Calibri"/>
                <w:i/>
                <w:iCs/>
                <w:color w:val="000000"/>
                <w:szCs w:val="22"/>
              </w:rPr>
              <w:t>Bactrocera pyrifoliae</w:t>
            </w:r>
          </w:p>
        </w:tc>
      </w:tr>
      <w:tr w:rsidR="00612969" w:rsidRPr="007D2212" w14:paraId="53760D56" w14:textId="77777777" w:rsidTr="00A4522D">
        <w:trPr>
          <w:trHeight w:val="300"/>
        </w:trPr>
        <w:tc>
          <w:tcPr>
            <w:tcW w:w="1280" w:type="dxa"/>
            <w:tcBorders>
              <w:top w:val="nil"/>
              <w:left w:val="single" w:sz="8" w:space="0" w:color="auto"/>
              <w:bottom w:val="nil"/>
              <w:right w:val="nil"/>
            </w:tcBorders>
            <w:shd w:val="clear" w:color="auto" w:fill="BFBFBF" w:themeFill="background1" w:themeFillShade="BF"/>
            <w:noWrap/>
            <w:vAlign w:val="bottom"/>
            <w:hideMark/>
          </w:tcPr>
          <w:p w14:paraId="4A9843DD" w14:textId="77777777" w:rsidR="00612969" w:rsidRPr="007D2212" w:rsidRDefault="00E97743">
            <w:pPr>
              <w:jc w:val="left"/>
              <w:rPr>
                <w:rFonts w:ascii="Calibri" w:eastAsia="Times New Roman" w:hAnsi="Calibri"/>
                <w:color w:val="000000"/>
                <w:szCs w:val="22"/>
              </w:rPr>
            </w:pPr>
            <w:r w:rsidRPr="007D2212">
              <w:rPr>
                <w:rStyle w:val="PleaseReviewParagraphId"/>
              </w:rPr>
              <w:t>[306]</w:t>
            </w:r>
            <w:r w:rsidRPr="00A4522D">
              <w:rPr>
                <w:rFonts w:ascii="Calibri" w:eastAsia="Times New Roman" w:hAnsi="Calibri"/>
                <w:b/>
                <w:color w:val="000000"/>
                <w:szCs w:val="22"/>
              </w:rPr>
              <w:t>Wing</w:t>
            </w:r>
          </w:p>
        </w:tc>
        <w:tc>
          <w:tcPr>
            <w:tcW w:w="2120" w:type="dxa"/>
            <w:tcBorders>
              <w:top w:val="nil"/>
              <w:left w:val="nil"/>
              <w:bottom w:val="single" w:sz="8" w:space="0" w:color="auto"/>
              <w:right w:val="nil"/>
            </w:tcBorders>
            <w:shd w:val="clear" w:color="auto" w:fill="BFBFBF" w:themeFill="background1" w:themeFillShade="BF"/>
            <w:hideMark/>
          </w:tcPr>
          <w:p w14:paraId="4E705472" w14:textId="77777777" w:rsidR="00612969" w:rsidRPr="007D2212" w:rsidRDefault="00E97743">
            <w:pPr>
              <w:jc w:val="left"/>
              <w:rPr>
                <w:rFonts w:ascii="Calibri" w:eastAsia="Times New Roman" w:hAnsi="Calibri"/>
                <w:i/>
                <w:iCs/>
                <w:color w:val="000000"/>
                <w:szCs w:val="22"/>
              </w:rPr>
            </w:pPr>
            <w:r w:rsidRPr="007D2212">
              <w:rPr>
                <w:rStyle w:val="PleaseReviewParagraphId"/>
              </w:rPr>
              <w:t>[307]</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4664671D" w14:textId="77777777" w:rsidR="00612969" w:rsidRPr="007D2212" w:rsidRDefault="00E97743">
            <w:pPr>
              <w:jc w:val="left"/>
              <w:rPr>
                <w:rFonts w:ascii="Calibri" w:eastAsia="Times New Roman" w:hAnsi="Calibri"/>
                <w:i/>
                <w:iCs/>
                <w:color w:val="000000"/>
                <w:szCs w:val="22"/>
              </w:rPr>
            </w:pPr>
            <w:r w:rsidRPr="007D2212">
              <w:rPr>
                <w:rStyle w:val="PleaseReviewParagraphId"/>
              </w:rPr>
              <w:t>[308]</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14D4AB3D" w14:textId="77777777" w:rsidR="00612969" w:rsidRPr="007D2212" w:rsidRDefault="00E97743">
            <w:pPr>
              <w:jc w:val="left"/>
              <w:rPr>
                <w:rFonts w:ascii="Calibri" w:eastAsia="Times New Roman" w:hAnsi="Calibri"/>
                <w:i/>
                <w:iCs/>
                <w:color w:val="000000"/>
                <w:szCs w:val="22"/>
              </w:rPr>
            </w:pPr>
            <w:r w:rsidRPr="007D2212">
              <w:rPr>
                <w:rStyle w:val="PleaseReviewParagraphId"/>
              </w:rPr>
              <w:t>[309]</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3DBA059F" w14:textId="77777777" w:rsidR="00612969" w:rsidRPr="007D2212" w:rsidRDefault="00E97743">
            <w:pPr>
              <w:jc w:val="left"/>
              <w:rPr>
                <w:rFonts w:ascii="Calibri" w:eastAsia="Times New Roman" w:hAnsi="Calibri"/>
                <w:i/>
                <w:iCs/>
                <w:color w:val="000000"/>
                <w:szCs w:val="22"/>
              </w:rPr>
            </w:pPr>
            <w:r w:rsidRPr="007D2212">
              <w:rPr>
                <w:rStyle w:val="PleaseReviewParagraphId"/>
              </w:rPr>
              <w:t>[310]</w:t>
            </w:r>
            <w:r w:rsidRPr="007D2212">
              <w:rPr>
                <w:rFonts w:ascii="Calibri" w:eastAsia="Times New Roman" w:hAnsi="Calibri"/>
                <w:i/>
                <w:iCs/>
                <w:color w:val="000000"/>
                <w:szCs w:val="22"/>
              </w:rPr>
              <w:t> </w:t>
            </w:r>
          </w:p>
        </w:tc>
        <w:tc>
          <w:tcPr>
            <w:tcW w:w="2120" w:type="dxa"/>
            <w:tcBorders>
              <w:top w:val="nil"/>
              <w:left w:val="nil"/>
              <w:bottom w:val="single" w:sz="8" w:space="0" w:color="auto"/>
              <w:right w:val="nil"/>
            </w:tcBorders>
            <w:shd w:val="clear" w:color="auto" w:fill="BFBFBF" w:themeFill="background1" w:themeFillShade="BF"/>
            <w:hideMark/>
          </w:tcPr>
          <w:p w14:paraId="24768306" w14:textId="77777777" w:rsidR="00612969" w:rsidRPr="007D2212" w:rsidRDefault="00E97743">
            <w:pPr>
              <w:jc w:val="left"/>
              <w:rPr>
                <w:rFonts w:ascii="Calibri" w:eastAsia="Times New Roman" w:hAnsi="Calibri"/>
                <w:i/>
                <w:iCs/>
                <w:color w:val="000000"/>
                <w:szCs w:val="22"/>
              </w:rPr>
            </w:pPr>
            <w:r w:rsidRPr="007D2212">
              <w:rPr>
                <w:rStyle w:val="PleaseReviewParagraphId"/>
              </w:rPr>
              <w:t>[311]</w:t>
            </w:r>
            <w:r w:rsidRPr="007D2212">
              <w:rPr>
                <w:rFonts w:ascii="Calibri" w:eastAsia="Times New Roman" w:hAnsi="Calibri"/>
                <w:i/>
                <w:iCs/>
                <w:color w:val="000000"/>
                <w:szCs w:val="22"/>
              </w:rPr>
              <w:t> </w:t>
            </w:r>
          </w:p>
        </w:tc>
        <w:tc>
          <w:tcPr>
            <w:tcW w:w="2120" w:type="dxa"/>
            <w:tcBorders>
              <w:top w:val="nil"/>
              <w:left w:val="nil"/>
              <w:bottom w:val="single" w:sz="8" w:space="0" w:color="auto"/>
              <w:right w:val="single" w:sz="8" w:space="0" w:color="auto"/>
            </w:tcBorders>
            <w:shd w:val="clear" w:color="auto" w:fill="BFBFBF" w:themeFill="background1" w:themeFillShade="BF"/>
            <w:hideMark/>
          </w:tcPr>
          <w:p w14:paraId="718D43FC" w14:textId="77777777" w:rsidR="00612969" w:rsidRPr="007D2212" w:rsidRDefault="00E97743">
            <w:pPr>
              <w:jc w:val="left"/>
              <w:rPr>
                <w:rFonts w:ascii="Calibri" w:eastAsia="Times New Roman" w:hAnsi="Calibri"/>
                <w:i/>
                <w:iCs/>
                <w:color w:val="000000"/>
                <w:szCs w:val="22"/>
              </w:rPr>
            </w:pPr>
            <w:r w:rsidRPr="007D2212">
              <w:rPr>
                <w:rStyle w:val="PleaseReviewParagraphId"/>
              </w:rPr>
              <w:t>[312]</w:t>
            </w:r>
            <w:r w:rsidRPr="007D2212">
              <w:rPr>
                <w:rFonts w:ascii="Calibri" w:eastAsia="Times New Roman" w:hAnsi="Calibri"/>
                <w:i/>
                <w:iCs/>
                <w:color w:val="000000"/>
                <w:szCs w:val="22"/>
              </w:rPr>
              <w:t> </w:t>
            </w:r>
          </w:p>
        </w:tc>
      </w:tr>
      <w:tr w:rsidR="00612969" w:rsidRPr="007D2212" w14:paraId="2D140F95" w14:textId="77777777">
        <w:trPr>
          <w:trHeight w:val="1680"/>
        </w:trPr>
        <w:tc>
          <w:tcPr>
            <w:tcW w:w="12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2EA8092"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[313]</w:t>
            </w:r>
            <w:r w:rsidRPr="007D2212">
              <w:rPr>
                <w:rFonts w:ascii="Arial" w:eastAsia="Times New Roman" w:hAnsi="Arial" w:cs="Arial"/>
                <w:color w:val="000000"/>
                <w:sz w:val="18"/>
                <w:szCs w:val="18"/>
              </w:rPr>
              <w:t>Costal band (Figures 9 and 15)</w:t>
            </w:r>
          </w:p>
        </w:tc>
        <w:tc>
          <w:tcPr>
            <w:tcW w:w="2120" w:type="dxa"/>
            <w:tcBorders>
              <w:top w:val="nil"/>
              <w:left w:val="nil"/>
              <w:bottom w:val="nil"/>
              <w:right w:val="single" w:sz="8" w:space="0" w:color="auto"/>
            </w:tcBorders>
            <w:shd w:val="clear" w:color="auto" w:fill="auto"/>
            <w:vAlign w:val="center"/>
            <w:hideMark/>
          </w:tcPr>
          <w:p w14:paraId="29534332"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[314]</w:t>
            </w:r>
            <w:r w:rsidRPr="007D2212">
              <w:rPr>
                <w:rFonts w:ascii="Arial" w:eastAsia="Times New Roman" w:hAnsi="Arial" w:cs="Arial"/>
                <w:color w:val="000000"/>
                <w:sz w:val="18"/>
                <w:szCs w:val="18"/>
              </w:rPr>
              <w:t>Narrow, slightly overlapping R</w:t>
            </w:r>
            <w:r w:rsidRPr="007D2212">
              <w:rPr>
                <w:rFonts w:ascii="Arial" w:eastAsia="Times New Roman" w:hAnsi="Arial" w:cs="Arial"/>
                <w:color w:val="000000"/>
                <w:sz w:val="18"/>
                <w:szCs w:val="18"/>
                <w:vertAlign w:val="subscript"/>
              </w:rPr>
              <w:t>2+3</w:t>
            </w:r>
            <w:r w:rsidRPr="007D2212">
              <w:rPr>
                <w:rFonts w:ascii="Arial" w:eastAsia="Times New Roman" w:hAnsi="Arial" w:cs="Arial"/>
                <w:color w:val="000000"/>
                <w:sz w:val="18"/>
                <w:szCs w:val="18"/>
              </w:rPr>
              <w:t>, moderately broad around apex of wing (Figure 15(a))</w:t>
            </w:r>
          </w:p>
        </w:tc>
        <w:tc>
          <w:tcPr>
            <w:tcW w:w="2120" w:type="dxa"/>
            <w:tcBorders>
              <w:top w:val="nil"/>
              <w:left w:val="nil"/>
              <w:bottom w:val="nil"/>
              <w:right w:val="single" w:sz="8" w:space="0" w:color="auto"/>
            </w:tcBorders>
            <w:shd w:val="clear" w:color="auto" w:fill="auto"/>
            <w:vAlign w:val="center"/>
            <w:hideMark/>
          </w:tcPr>
          <w:p w14:paraId="7A45AD34"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[315]</w:t>
            </w:r>
            <w:r w:rsidRPr="007D2212">
              <w:rPr>
                <w:rFonts w:ascii="Arial" w:eastAsia="Times New Roman" w:hAnsi="Arial" w:cs="Arial"/>
                <w:color w:val="000000"/>
                <w:sz w:val="18"/>
                <w:szCs w:val="18"/>
              </w:rPr>
              <w:t>Very narrow, confluent with R</w:t>
            </w:r>
            <w:r w:rsidRPr="007D2212">
              <w:rPr>
                <w:rFonts w:ascii="Arial" w:eastAsia="Times New Roman" w:hAnsi="Arial" w:cs="Arial"/>
                <w:color w:val="000000"/>
                <w:sz w:val="18"/>
                <w:szCs w:val="18"/>
                <w:vertAlign w:val="subscript"/>
              </w:rPr>
              <w:t>2+3</w:t>
            </w:r>
            <w:r w:rsidRPr="007D2212">
              <w:rPr>
                <w:rFonts w:ascii="Arial" w:eastAsia="Times New Roman" w:hAnsi="Arial" w:cs="Arial"/>
                <w:color w:val="000000"/>
                <w:sz w:val="18"/>
                <w:szCs w:val="18"/>
              </w:rPr>
              <w:t>, very narrow around apex of wing (Figure 15(b))</w:t>
            </w:r>
          </w:p>
        </w:tc>
        <w:tc>
          <w:tcPr>
            <w:tcW w:w="2120" w:type="dxa"/>
            <w:tcBorders>
              <w:top w:val="nil"/>
              <w:left w:val="nil"/>
              <w:bottom w:val="nil"/>
              <w:right w:val="single" w:sz="8" w:space="0" w:color="auto"/>
            </w:tcBorders>
            <w:shd w:val="clear" w:color="auto" w:fill="auto"/>
            <w:vAlign w:val="center"/>
            <w:hideMark/>
          </w:tcPr>
          <w:p w14:paraId="5E128E23"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[316]</w:t>
            </w:r>
            <w:r w:rsidRPr="007D2212">
              <w:rPr>
                <w:rFonts w:ascii="Arial" w:eastAsia="Times New Roman" w:hAnsi="Arial" w:cs="Arial"/>
                <w:color w:val="000000"/>
                <w:sz w:val="18"/>
                <w:szCs w:val="18"/>
              </w:rPr>
              <w:t>Narrow, generally confluent with R</w:t>
            </w:r>
            <w:r w:rsidRPr="007D2212">
              <w:rPr>
                <w:rFonts w:ascii="Arial" w:eastAsia="Times New Roman" w:hAnsi="Arial" w:cs="Arial"/>
                <w:color w:val="000000"/>
                <w:sz w:val="18"/>
                <w:szCs w:val="18"/>
                <w:vertAlign w:val="subscript"/>
              </w:rPr>
              <w:t>2+3</w:t>
            </w:r>
            <w:r w:rsidRPr="007D2212">
              <w:rPr>
                <w:rFonts w:ascii="Arial" w:eastAsia="Times New Roman" w:hAnsi="Arial" w:cs="Arial"/>
                <w:color w:val="000000"/>
                <w:sz w:val="18"/>
                <w:szCs w:val="18"/>
              </w:rPr>
              <w:t xml:space="preserve"> (inter- or intra-regionally variable), narrow to moderately broad around apex of wing (Figure 15(c))</w:t>
            </w:r>
          </w:p>
        </w:tc>
        <w:tc>
          <w:tcPr>
            <w:tcW w:w="2120" w:type="dxa"/>
            <w:tcBorders>
              <w:top w:val="nil"/>
              <w:left w:val="nil"/>
              <w:bottom w:val="nil"/>
              <w:right w:val="single" w:sz="8" w:space="0" w:color="auto"/>
            </w:tcBorders>
            <w:shd w:val="clear" w:color="auto" w:fill="auto"/>
            <w:vAlign w:val="center"/>
            <w:hideMark/>
          </w:tcPr>
          <w:p w14:paraId="08E3C470"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[317]</w:t>
            </w:r>
            <w:r w:rsidRPr="007D2212">
              <w:rPr>
                <w:rFonts w:ascii="Arial" w:eastAsia="Times New Roman" w:hAnsi="Arial" w:cs="Arial"/>
                <w:color w:val="000000"/>
                <w:sz w:val="18"/>
                <w:szCs w:val="18"/>
              </w:rPr>
              <w:t>Narrow, confluent with R</w:t>
            </w:r>
            <w:r w:rsidRPr="007D2212">
              <w:rPr>
                <w:rFonts w:ascii="Arial" w:eastAsia="Times New Roman" w:hAnsi="Arial" w:cs="Arial"/>
                <w:color w:val="000000"/>
                <w:sz w:val="18"/>
                <w:szCs w:val="18"/>
                <w:vertAlign w:val="subscript"/>
              </w:rPr>
              <w:t>2+3</w:t>
            </w:r>
            <w:r w:rsidRPr="007D2212">
              <w:rPr>
                <w:rFonts w:ascii="Arial" w:eastAsia="Times New Roman" w:hAnsi="Arial" w:cs="Arial"/>
                <w:color w:val="000000"/>
                <w:sz w:val="18"/>
                <w:szCs w:val="18"/>
              </w:rPr>
              <w:t>, narrow around margin of wing (Figure 15(d))</w:t>
            </w:r>
          </w:p>
        </w:tc>
        <w:tc>
          <w:tcPr>
            <w:tcW w:w="2120" w:type="dxa"/>
            <w:tcBorders>
              <w:top w:val="nil"/>
              <w:left w:val="nil"/>
              <w:bottom w:val="nil"/>
              <w:right w:val="single" w:sz="8" w:space="0" w:color="auto"/>
            </w:tcBorders>
            <w:shd w:val="clear" w:color="auto" w:fill="auto"/>
            <w:vAlign w:val="center"/>
            <w:hideMark/>
          </w:tcPr>
          <w:p w14:paraId="24F3A97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[318]</w:t>
            </w:r>
            <w:r w:rsidRPr="007D2212">
              <w:rPr>
                <w:rFonts w:ascii="Arial" w:eastAsia="Times New Roman" w:hAnsi="Arial" w:cs="Arial"/>
                <w:color w:val="000000"/>
                <w:sz w:val="18"/>
                <w:szCs w:val="18"/>
              </w:rPr>
              <w:t>Narrow, distinctly overlapping R</w:t>
            </w:r>
            <w:r w:rsidRPr="007D2212">
              <w:rPr>
                <w:rFonts w:ascii="Arial" w:eastAsia="Times New Roman" w:hAnsi="Arial" w:cs="Arial"/>
                <w:color w:val="000000"/>
                <w:sz w:val="18"/>
                <w:szCs w:val="18"/>
                <w:vertAlign w:val="subscript"/>
              </w:rPr>
              <w:t>2+3</w:t>
            </w:r>
            <w:r w:rsidRPr="007D2212">
              <w:rPr>
                <w:rFonts w:ascii="Arial" w:eastAsia="Times New Roman" w:hAnsi="Arial" w:cs="Arial"/>
                <w:color w:val="000000"/>
                <w:sz w:val="18"/>
                <w:szCs w:val="18"/>
              </w:rPr>
              <w:t>, broad around apex of wing extending to mid-point between R</w:t>
            </w:r>
            <w:r w:rsidRPr="007D2212">
              <w:rPr>
                <w:rFonts w:ascii="Arial" w:eastAsia="Times New Roman" w:hAnsi="Arial" w:cs="Arial"/>
                <w:color w:val="000000"/>
                <w:sz w:val="18"/>
                <w:szCs w:val="18"/>
                <w:vertAlign w:val="subscript"/>
              </w:rPr>
              <w:t>2+3</w:t>
            </w:r>
            <w:r w:rsidRPr="007D2212">
              <w:rPr>
                <w:rFonts w:ascii="Arial" w:eastAsia="Times New Roman" w:hAnsi="Arial" w:cs="Arial"/>
                <w:color w:val="000000"/>
                <w:sz w:val="18"/>
                <w:szCs w:val="18"/>
              </w:rPr>
              <w:t xml:space="preserve"> and R</w:t>
            </w:r>
            <w:r w:rsidRPr="007D2212">
              <w:rPr>
                <w:rFonts w:ascii="Arial" w:eastAsia="Times New Roman" w:hAnsi="Arial" w:cs="Arial"/>
                <w:color w:val="000000"/>
                <w:sz w:val="18"/>
                <w:szCs w:val="18"/>
                <w:vertAlign w:val="subscript"/>
              </w:rPr>
              <w:t>4+5</w:t>
            </w:r>
            <w:r w:rsidRPr="007D2212">
              <w:rPr>
                <w:rFonts w:ascii="Arial" w:eastAsia="Times New Roman" w:hAnsi="Arial" w:cs="Arial"/>
                <w:color w:val="000000"/>
                <w:sz w:val="18"/>
                <w:szCs w:val="18"/>
              </w:rPr>
              <w:t xml:space="preserve"> (Figure 15(e))</w:t>
            </w:r>
          </w:p>
        </w:tc>
        <w:tc>
          <w:tcPr>
            <w:tcW w:w="2120" w:type="dxa"/>
            <w:tcBorders>
              <w:top w:val="nil"/>
              <w:left w:val="nil"/>
              <w:bottom w:val="nil"/>
              <w:right w:val="single" w:sz="8" w:space="0" w:color="auto"/>
            </w:tcBorders>
            <w:shd w:val="clear" w:color="auto" w:fill="auto"/>
            <w:vAlign w:val="center"/>
            <w:hideMark/>
          </w:tcPr>
          <w:p w14:paraId="32BA3871" w14:textId="0FEB1297" w:rsidR="00612969" w:rsidRPr="007D2212" w:rsidRDefault="00E97743">
            <w:pPr>
              <w:jc w:val="left"/>
              <w:rPr>
                <w:rFonts w:ascii="Arial" w:eastAsia="Times New Roman" w:hAnsi="Arial" w:cs="Arial"/>
                <w:color w:val="000000"/>
                <w:sz w:val="18"/>
                <w:szCs w:val="18"/>
              </w:rPr>
            </w:pPr>
            <w:r w:rsidRPr="007D2212">
              <w:rPr>
                <w:rStyle w:val="PleaseReviewParagraphId"/>
              </w:rPr>
              <w:t>[319]</w:t>
            </w:r>
            <w:r w:rsidRPr="007D2212">
              <w:rPr>
                <w:rFonts w:ascii="Arial" w:eastAsia="Times New Roman" w:hAnsi="Arial" w:cs="Arial"/>
                <w:color w:val="000000"/>
                <w:sz w:val="18"/>
                <w:szCs w:val="18"/>
              </w:rPr>
              <w:t>Narrow, confluent with R</w:t>
            </w:r>
            <w:r w:rsidRPr="007D2212">
              <w:rPr>
                <w:rFonts w:ascii="Arial" w:eastAsia="Times New Roman" w:hAnsi="Arial" w:cs="Arial"/>
                <w:color w:val="000000"/>
                <w:sz w:val="18"/>
                <w:szCs w:val="18"/>
                <w:vertAlign w:val="subscript"/>
              </w:rPr>
              <w:t>2+3</w:t>
            </w:r>
            <w:r w:rsidRPr="007D2212">
              <w:rPr>
                <w:rFonts w:ascii="Arial" w:eastAsia="Times New Roman" w:hAnsi="Arial" w:cs="Arial"/>
                <w:color w:val="000000"/>
                <w:sz w:val="18"/>
                <w:szCs w:val="18"/>
              </w:rPr>
              <w:t>, narrow but slightly expanding around apex of wing (Figure 15(f))</w:t>
            </w:r>
          </w:p>
        </w:tc>
      </w:tr>
      <w:tr w:rsidR="00612969" w:rsidRPr="007D2212" w14:paraId="51F76838" w14:textId="77777777" w:rsidTr="00A4522D">
        <w:trPr>
          <w:trHeight w:val="300"/>
        </w:trPr>
        <w:tc>
          <w:tcPr>
            <w:tcW w:w="1280" w:type="dxa"/>
            <w:tcBorders>
              <w:top w:val="nil"/>
              <w:left w:val="single" w:sz="8" w:space="0" w:color="auto"/>
              <w:bottom w:val="single" w:sz="8" w:space="0" w:color="auto"/>
              <w:right w:val="nil"/>
            </w:tcBorders>
            <w:shd w:val="clear" w:color="auto" w:fill="BFBFBF" w:themeFill="background1" w:themeFillShade="BF"/>
            <w:vAlign w:val="center"/>
            <w:hideMark/>
          </w:tcPr>
          <w:p w14:paraId="75A69A5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[320]</w:t>
            </w:r>
            <w:r w:rsidRPr="00A4522D">
              <w:rPr>
                <w:rFonts w:ascii="Arial" w:eastAsia="Times New Roman" w:hAnsi="Arial" w:cs="Arial"/>
                <w:b/>
                <w:color w:val="000000"/>
                <w:sz w:val="18"/>
                <w:szCs w:val="18"/>
              </w:rPr>
              <w:t>Legs</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137D2726"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[321]</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4353A15D"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[322]</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7A624E57"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[323]</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28644C7A"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[324]</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2AD6BB50"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[325]</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0ADCC17C"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[326]</w:t>
            </w:r>
            <w:r w:rsidRPr="007D2212">
              <w:rPr>
                <w:rFonts w:ascii="Arial" w:eastAsia="Times New Roman" w:hAnsi="Arial" w:cs="Arial"/>
                <w:color w:val="000000"/>
                <w:sz w:val="18"/>
                <w:szCs w:val="18"/>
              </w:rPr>
              <w:t> </w:t>
            </w:r>
          </w:p>
        </w:tc>
      </w:tr>
      <w:tr w:rsidR="00612969" w:rsidRPr="007D2212" w14:paraId="2AF0FE6C" w14:textId="77777777">
        <w:trPr>
          <w:trHeight w:val="1380"/>
        </w:trPr>
        <w:tc>
          <w:tcPr>
            <w:tcW w:w="1280" w:type="dxa"/>
            <w:tcBorders>
              <w:top w:val="nil"/>
              <w:left w:val="single" w:sz="8" w:space="0" w:color="auto"/>
              <w:bottom w:val="single" w:sz="8" w:space="0" w:color="auto"/>
              <w:right w:val="single" w:sz="8" w:space="0" w:color="auto"/>
            </w:tcBorders>
            <w:shd w:val="clear" w:color="auto" w:fill="auto"/>
            <w:vAlign w:val="center"/>
            <w:hideMark/>
          </w:tcPr>
          <w:p w14:paraId="1B6612B3"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[327]</w:t>
            </w:r>
            <w:r w:rsidRPr="007D2212">
              <w:rPr>
                <w:rFonts w:ascii="Arial" w:eastAsia="Times New Roman" w:hAnsi="Arial" w:cs="Arial"/>
                <w:color w:val="000000"/>
                <w:sz w:val="18"/>
                <w:szCs w:val="18"/>
              </w:rPr>
              <w:t>Femora (Figure 14)</w:t>
            </w:r>
          </w:p>
        </w:tc>
        <w:tc>
          <w:tcPr>
            <w:tcW w:w="2120" w:type="dxa"/>
            <w:tcBorders>
              <w:top w:val="nil"/>
              <w:left w:val="nil"/>
              <w:bottom w:val="nil"/>
              <w:right w:val="single" w:sz="8" w:space="0" w:color="auto"/>
            </w:tcBorders>
            <w:shd w:val="clear" w:color="auto" w:fill="auto"/>
            <w:vAlign w:val="center"/>
            <w:hideMark/>
          </w:tcPr>
          <w:p w14:paraId="35E81526"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[328]</w:t>
            </w:r>
            <w:r w:rsidRPr="007D2212">
              <w:rPr>
                <w:rFonts w:ascii="Arial" w:eastAsia="Times New Roman" w:hAnsi="Arial" w:cs="Arial"/>
                <w:color w:val="000000"/>
                <w:sz w:val="18"/>
                <w:szCs w:val="18"/>
              </w:rPr>
              <w:t>Fulvous, generally with a large elongate oval black marking on outer surface of fore femora (Figure 14(a))</w:t>
            </w:r>
          </w:p>
        </w:tc>
        <w:tc>
          <w:tcPr>
            <w:tcW w:w="2120" w:type="dxa"/>
            <w:tcBorders>
              <w:top w:val="nil"/>
              <w:left w:val="nil"/>
              <w:bottom w:val="nil"/>
              <w:right w:val="single" w:sz="8" w:space="0" w:color="auto"/>
            </w:tcBorders>
            <w:shd w:val="clear" w:color="auto" w:fill="auto"/>
            <w:vAlign w:val="center"/>
            <w:hideMark/>
          </w:tcPr>
          <w:p w14:paraId="23802E85"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[329]</w:t>
            </w:r>
            <w:r w:rsidRPr="007D2212">
              <w:rPr>
                <w:rFonts w:ascii="Arial" w:eastAsia="Times New Roman" w:hAnsi="Arial" w:cs="Arial"/>
                <w:color w:val="000000"/>
                <w:sz w:val="18"/>
                <w:szCs w:val="18"/>
              </w:rPr>
              <w:t>Fulvous with large dark fuscous markings on all femora (Figure 14(b))</w:t>
            </w:r>
          </w:p>
        </w:tc>
        <w:tc>
          <w:tcPr>
            <w:tcW w:w="2120" w:type="dxa"/>
            <w:tcBorders>
              <w:top w:val="nil"/>
              <w:left w:val="nil"/>
              <w:bottom w:val="nil"/>
              <w:right w:val="single" w:sz="8" w:space="0" w:color="auto"/>
            </w:tcBorders>
            <w:shd w:val="clear" w:color="auto" w:fill="auto"/>
            <w:vAlign w:val="center"/>
            <w:hideMark/>
          </w:tcPr>
          <w:p w14:paraId="07856462"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[330]</w:t>
            </w:r>
            <w:r w:rsidRPr="007D2212">
              <w:rPr>
                <w:rFonts w:ascii="Arial" w:eastAsia="Times New Roman" w:hAnsi="Arial" w:cs="Arial"/>
                <w:color w:val="000000"/>
                <w:sz w:val="18"/>
                <w:szCs w:val="18"/>
              </w:rPr>
              <w:t>Generally fulvous, occasionally with a small dark marking on outer surface of fore femora (inter-regionally variable) (Figure 14(c))</w:t>
            </w:r>
          </w:p>
        </w:tc>
        <w:tc>
          <w:tcPr>
            <w:tcW w:w="2120" w:type="dxa"/>
            <w:tcBorders>
              <w:top w:val="nil"/>
              <w:left w:val="nil"/>
              <w:bottom w:val="nil"/>
              <w:right w:val="single" w:sz="8" w:space="0" w:color="auto"/>
            </w:tcBorders>
            <w:shd w:val="clear" w:color="auto" w:fill="auto"/>
            <w:vAlign w:val="center"/>
            <w:hideMark/>
          </w:tcPr>
          <w:p w14:paraId="2368C2B1"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[331]</w:t>
            </w:r>
            <w:r w:rsidRPr="007D2212">
              <w:rPr>
                <w:rFonts w:ascii="Arial" w:eastAsia="Times New Roman" w:hAnsi="Arial" w:cs="Arial"/>
                <w:color w:val="000000"/>
                <w:sz w:val="18"/>
                <w:szCs w:val="18"/>
              </w:rPr>
              <w:t>Fulvous with large dark markings on all femora (Figure 14(d))</w:t>
            </w:r>
          </w:p>
        </w:tc>
        <w:tc>
          <w:tcPr>
            <w:tcW w:w="2120" w:type="dxa"/>
            <w:tcBorders>
              <w:top w:val="nil"/>
              <w:left w:val="nil"/>
              <w:bottom w:val="nil"/>
              <w:right w:val="single" w:sz="8" w:space="0" w:color="auto"/>
            </w:tcBorders>
            <w:shd w:val="clear" w:color="auto" w:fill="auto"/>
            <w:vAlign w:val="center"/>
            <w:hideMark/>
          </w:tcPr>
          <w:p w14:paraId="0501D7E5"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[332]</w:t>
            </w:r>
            <w:r w:rsidRPr="007D2212">
              <w:rPr>
                <w:rFonts w:ascii="Arial" w:eastAsia="Times New Roman" w:hAnsi="Arial" w:cs="Arial"/>
                <w:color w:val="000000"/>
                <w:sz w:val="18"/>
                <w:szCs w:val="18"/>
              </w:rPr>
              <w:t>Generally fulvous, occasionally with a small preapical dark spot on outer surface of fore femora (Figure 14(e))</w:t>
            </w:r>
          </w:p>
        </w:tc>
        <w:tc>
          <w:tcPr>
            <w:tcW w:w="2120" w:type="dxa"/>
            <w:tcBorders>
              <w:top w:val="nil"/>
              <w:left w:val="nil"/>
              <w:bottom w:val="nil"/>
              <w:right w:val="single" w:sz="8" w:space="0" w:color="auto"/>
            </w:tcBorders>
            <w:shd w:val="clear" w:color="auto" w:fill="auto"/>
            <w:vAlign w:val="center"/>
            <w:hideMark/>
          </w:tcPr>
          <w:p w14:paraId="32C42CA2"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[333]</w:t>
            </w:r>
            <w:r w:rsidRPr="007D2212">
              <w:rPr>
                <w:rFonts w:ascii="Arial" w:eastAsia="Times New Roman" w:hAnsi="Arial" w:cs="Arial"/>
                <w:color w:val="000000"/>
                <w:sz w:val="18"/>
                <w:szCs w:val="18"/>
              </w:rPr>
              <w:t>Fulvous with a small apical marking on fore femora and dark fuscous around apices of mid and hind femora (Figure 14(f))</w:t>
            </w:r>
          </w:p>
        </w:tc>
      </w:tr>
      <w:tr w:rsidR="00612969" w:rsidRPr="007D2212" w14:paraId="1E37C467" w14:textId="77777777" w:rsidTr="00A4522D">
        <w:trPr>
          <w:trHeight w:val="300"/>
        </w:trPr>
        <w:tc>
          <w:tcPr>
            <w:tcW w:w="1280" w:type="dxa"/>
            <w:tcBorders>
              <w:top w:val="nil"/>
              <w:left w:val="single" w:sz="8" w:space="0" w:color="auto"/>
              <w:bottom w:val="single" w:sz="8" w:space="0" w:color="auto"/>
              <w:right w:val="nil"/>
            </w:tcBorders>
            <w:shd w:val="clear" w:color="auto" w:fill="BFBFBF" w:themeFill="background1" w:themeFillShade="BF"/>
            <w:vAlign w:val="center"/>
            <w:hideMark/>
          </w:tcPr>
          <w:p w14:paraId="7A5D3838"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[334]</w:t>
            </w:r>
            <w:r w:rsidRPr="00A4522D">
              <w:rPr>
                <w:rFonts w:ascii="Arial" w:eastAsia="Times New Roman" w:hAnsi="Arial" w:cs="Arial"/>
                <w:b/>
                <w:color w:val="000000"/>
                <w:sz w:val="18"/>
                <w:szCs w:val="18"/>
              </w:rPr>
              <w:t>Genitalia</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6542A504"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[335]</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48C18137"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[336]</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4286F100"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[337]</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4DD8548E"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[338]</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nil"/>
            </w:tcBorders>
            <w:shd w:val="clear" w:color="auto" w:fill="BFBFBF" w:themeFill="background1" w:themeFillShade="BF"/>
            <w:vAlign w:val="center"/>
            <w:hideMark/>
          </w:tcPr>
          <w:p w14:paraId="7F30B754"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[339]</w:t>
            </w:r>
            <w:r w:rsidRPr="007D2212">
              <w:rPr>
                <w:rFonts w:ascii="Arial" w:eastAsia="Times New Roman" w:hAnsi="Arial" w:cs="Arial"/>
                <w:color w:val="000000"/>
                <w:sz w:val="18"/>
                <w:szCs w:val="18"/>
              </w:rPr>
              <w:t> </w:t>
            </w:r>
          </w:p>
        </w:tc>
        <w:tc>
          <w:tcPr>
            <w:tcW w:w="2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0AF6195D"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[340]</w:t>
            </w:r>
            <w:r w:rsidRPr="007D2212">
              <w:rPr>
                <w:rFonts w:ascii="Arial" w:eastAsia="Times New Roman" w:hAnsi="Arial" w:cs="Arial"/>
                <w:color w:val="000000"/>
                <w:sz w:val="18"/>
                <w:szCs w:val="18"/>
              </w:rPr>
              <w:t> </w:t>
            </w:r>
          </w:p>
        </w:tc>
      </w:tr>
      <w:tr w:rsidR="00612969" w:rsidRPr="007D2212" w14:paraId="09A299D0" w14:textId="77777777">
        <w:trPr>
          <w:trHeight w:val="696"/>
        </w:trPr>
        <w:tc>
          <w:tcPr>
            <w:tcW w:w="1280" w:type="dxa"/>
            <w:tcBorders>
              <w:top w:val="nil"/>
              <w:left w:val="single" w:sz="8" w:space="0" w:color="auto"/>
              <w:bottom w:val="single" w:sz="8" w:space="0" w:color="auto"/>
              <w:right w:val="single" w:sz="8" w:space="0" w:color="auto"/>
            </w:tcBorders>
            <w:shd w:val="clear" w:color="auto" w:fill="auto"/>
            <w:vAlign w:val="center"/>
            <w:hideMark/>
          </w:tcPr>
          <w:p w14:paraId="5C765F0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[341]</w:t>
            </w:r>
            <w:r w:rsidRPr="007D2212">
              <w:rPr>
                <w:rFonts w:ascii="Arial" w:eastAsia="Times New Roman" w:hAnsi="Arial" w:cs="Arial"/>
                <w:color w:val="000000"/>
                <w:sz w:val="18"/>
                <w:szCs w:val="18"/>
              </w:rPr>
              <w:t>Aculeus length (mm) (Figure 5)</w:t>
            </w:r>
          </w:p>
        </w:tc>
        <w:tc>
          <w:tcPr>
            <w:tcW w:w="2120" w:type="dxa"/>
            <w:tcBorders>
              <w:top w:val="nil"/>
              <w:left w:val="nil"/>
              <w:bottom w:val="single" w:sz="8" w:space="0" w:color="auto"/>
              <w:right w:val="single" w:sz="8" w:space="0" w:color="auto"/>
            </w:tcBorders>
            <w:shd w:val="clear" w:color="auto" w:fill="auto"/>
            <w:vAlign w:val="center"/>
            <w:hideMark/>
          </w:tcPr>
          <w:p w14:paraId="4429B2C4"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[342]</w:t>
            </w:r>
            <w:r w:rsidRPr="007D2212">
              <w:rPr>
                <w:rFonts w:ascii="Arial" w:eastAsia="Times New Roman" w:hAnsi="Arial" w:cs="Arial"/>
                <w:color w:val="000000"/>
                <w:sz w:val="18"/>
                <w:szCs w:val="18"/>
              </w:rPr>
              <w:t>1.3–1.6</w:t>
            </w:r>
          </w:p>
        </w:tc>
        <w:tc>
          <w:tcPr>
            <w:tcW w:w="2120" w:type="dxa"/>
            <w:tcBorders>
              <w:top w:val="nil"/>
              <w:left w:val="nil"/>
              <w:bottom w:val="single" w:sz="8" w:space="0" w:color="auto"/>
              <w:right w:val="single" w:sz="8" w:space="0" w:color="auto"/>
            </w:tcBorders>
            <w:shd w:val="clear" w:color="auto" w:fill="auto"/>
            <w:vAlign w:val="center"/>
            <w:hideMark/>
          </w:tcPr>
          <w:p w14:paraId="0EBBEDC3"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[343]</w:t>
            </w:r>
            <w:r w:rsidRPr="007D2212">
              <w:rPr>
                <w:rFonts w:ascii="Arial" w:eastAsia="Times New Roman" w:hAnsi="Arial" w:cs="Arial"/>
                <w:color w:val="000000"/>
                <w:sz w:val="18"/>
                <w:szCs w:val="18"/>
              </w:rPr>
              <w:t>n/a</w:t>
            </w:r>
            <w:r w:rsidRPr="007D2212">
              <w:rPr>
                <w:rFonts w:eastAsia="Times New Roman"/>
                <w:color w:val="000000"/>
                <w:sz w:val="16"/>
                <w:szCs w:val="16"/>
              </w:rPr>
              <w:t> </w:t>
            </w:r>
          </w:p>
        </w:tc>
        <w:tc>
          <w:tcPr>
            <w:tcW w:w="2120" w:type="dxa"/>
            <w:tcBorders>
              <w:top w:val="nil"/>
              <w:left w:val="nil"/>
              <w:bottom w:val="single" w:sz="8" w:space="0" w:color="auto"/>
              <w:right w:val="single" w:sz="8" w:space="0" w:color="auto"/>
            </w:tcBorders>
            <w:shd w:val="clear" w:color="auto" w:fill="auto"/>
            <w:vAlign w:val="center"/>
            <w:hideMark/>
          </w:tcPr>
          <w:p w14:paraId="5A9CFC2C" w14:textId="3EB52242" w:rsidR="00612969" w:rsidRPr="007D2212" w:rsidRDefault="00E97743">
            <w:pPr>
              <w:jc w:val="left"/>
              <w:rPr>
                <w:rFonts w:ascii="Arial" w:eastAsia="Times New Roman" w:hAnsi="Arial" w:cs="Arial"/>
                <w:color w:val="000000"/>
                <w:sz w:val="18"/>
                <w:szCs w:val="18"/>
              </w:rPr>
            </w:pPr>
            <w:r w:rsidRPr="007D2212">
              <w:rPr>
                <w:rStyle w:val="PleaseReviewParagraphId"/>
              </w:rPr>
              <w:t>[344]</w:t>
            </w:r>
            <w:r w:rsidRPr="007D2212">
              <w:rPr>
                <w:rFonts w:ascii="Arial" w:eastAsia="Times New Roman" w:hAnsi="Arial" w:cs="Arial"/>
                <w:color w:val="000000"/>
                <w:sz w:val="18"/>
                <w:szCs w:val="18"/>
              </w:rPr>
              <w:t>1.4–2.2 (inter</w:t>
            </w:r>
            <w:r w:rsidR="007E0093">
              <w:rPr>
                <w:rFonts w:ascii="Arial" w:eastAsia="Times New Roman" w:hAnsi="Arial" w:cs="Arial"/>
                <w:color w:val="000000"/>
                <w:sz w:val="18"/>
                <w:szCs w:val="18"/>
              </w:rPr>
              <w:t>-</w:t>
            </w:r>
            <w:r w:rsidRPr="007D2212">
              <w:rPr>
                <w:rFonts w:ascii="Arial" w:eastAsia="Times New Roman" w:hAnsi="Arial" w:cs="Arial"/>
                <w:color w:val="000000"/>
                <w:sz w:val="18"/>
                <w:szCs w:val="18"/>
              </w:rPr>
              <w:t xml:space="preserve"> or intra-regionally variable)</w:t>
            </w:r>
          </w:p>
        </w:tc>
        <w:tc>
          <w:tcPr>
            <w:tcW w:w="2120" w:type="dxa"/>
            <w:tcBorders>
              <w:top w:val="nil"/>
              <w:left w:val="nil"/>
              <w:bottom w:val="single" w:sz="8" w:space="0" w:color="auto"/>
              <w:right w:val="single" w:sz="8" w:space="0" w:color="auto"/>
            </w:tcBorders>
            <w:shd w:val="clear" w:color="auto" w:fill="auto"/>
            <w:vAlign w:val="center"/>
            <w:hideMark/>
          </w:tcPr>
          <w:p w14:paraId="538315E0"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[345]</w:t>
            </w:r>
            <w:r w:rsidRPr="007D2212">
              <w:rPr>
                <w:rFonts w:ascii="Arial" w:eastAsia="Times New Roman" w:hAnsi="Arial" w:cs="Arial"/>
                <w:color w:val="000000"/>
                <w:sz w:val="18"/>
                <w:szCs w:val="18"/>
              </w:rPr>
              <w:t>n/a</w:t>
            </w:r>
          </w:p>
        </w:tc>
        <w:tc>
          <w:tcPr>
            <w:tcW w:w="2120" w:type="dxa"/>
            <w:tcBorders>
              <w:top w:val="nil"/>
              <w:left w:val="nil"/>
              <w:bottom w:val="single" w:sz="8" w:space="0" w:color="auto"/>
              <w:right w:val="single" w:sz="8" w:space="0" w:color="auto"/>
            </w:tcBorders>
            <w:shd w:val="clear" w:color="auto" w:fill="auto"/>
            <w:vAlign w:val="center"/>
            <w:hideMark/>
          </w:tcPr>
          <w:p w14:paraId="66EB0FC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[346]</w:t>
            </w:r>
            <w:r w:rsidRPr="007D2212">
              <w:rPr>
                <w:rFonts w:ascii="Arial" w:eastAsia="Times New Roman" w:hAnsi="Arial" w:cs="Arial"/>
                <w:color w:val="000000"/>
                <w:sz w:val="18"/>
                <w:szCs w:val="18"/>
              </w:rPr>
              <w:t>n/a</w:t>
            </w:r>
          </w:p>
        </w:tc>
        <w:tc>
          <w:tcPr>
            <w:tcW w:w="2120" w:type="dxa"/>
            <w:tcBorders>
              <w:top w:val="nil"/>
              <w:left w:val="nil"/>
              <w:bottom w:val="single" w:sz="8" w:space="0" w:color="auto"/>
              <w:right w:val="single" w:sz="8" w:space="0" w:color="auto"/>
            </w:tcBorders>
            <w:shd w:val="clear" w:color="auto" w:fill="auto"/>
            <w:vAlign w:val="center"/>
            <w:hideMark/>
          </w:tcPr>
          <w:p w14:paraId="62CA6571"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[347]</w:t>
            </w:r>
            <w:r w:rsidRPr="007D2212">
              <w:rPr>
                <w:rFonts w:ascii="Arial" w:eastAsia="Times New Roman" w:hAnsi="Arial" w:cs="Arial"/>
                <w:color w:val="000000"/>
                <w:sz w:val="18"/>
                <w:szCs w:val="18"/>
              </w:rPr>
              <w:t>n/a</w:t>
            </w:r>
          </w:p>
        </w:tc>
      </w:tr>
      <w:tr w:rsidR="00612969" w:rsidRPr="007D2212" w14:paraId="1AEC32D8" w14:textId="77777777">
        <w:trPr>
          <w:trHeight w:val="540"/>
        </w:trPr>
        <w:tc>
          <w:tcPr>
            <w:tcW w:w="1280" w:type="dxa"/>
            <w:tcBorders>
              <w:top w:val="nil"/>
              <w:left w:val="single" w:sz="8" w:space="0" w:color="auto"/>
              <w:bottom w:val="single" w:sz="8" w:space="0" w:color="auto"/>
              <w:right w:val="single" w:sz="8" w:space="0" w:color="auto"/>
            </w:tcBorders>
            <w:shd w:val="clear" w:color="auto" w:fill="auto"/>
            <w:vAlign w:val="center"/>
            <w:hideMark/>
          </w:tcPr>
          <w:p w14:paraId="3DF37A68"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[348]</w:t>
            </w:r>
            <w:r w:rsidRPr="007D2212">
              <w:rPr>
                <w:rFonts w:ascii="Arial" w:eastAsia="Times New Roman" w:hAnsi="Arial" w:cs="Arial"/>
                <w:color w:val="000000"/>
                <w:sz w:val="18"/>
                <w:szCs w:val="18"/>
              </w:rPr>
              <w:t>Ratio (CuA</w:t>
            </w:r>
            <w:r w:rsidRPr="007D2212">
              <w:rPr>
                <w:rFonts w:ascii="Arial" w:eastAsia="Times New Roman" w:hAnsi="Arial" w:cs="Arial"/>
                <w:color w:val="000000"/>
                <w:sz w:val="18"/>
                <w:szCs w:val="18"/>
                <w:vertAlign w:val="subscript"/>
              </w:rPr>
              <w:t>1</w:t>
            </w:r>
            <w:r w:rsidRPr="007D2212">
              <w:rPr>
                <w:rFonts w:ascii="Arial" w:eastAsia="Times New Roman" w:hAnsi="Arial" w:cs="Arial"/>
                <w:color w:val="000000"/>
                <w:sz w:val="18"/>
                <w:szCs w:val="18"/>
              </w:rPr>
              <w:t>/Acul.)</w:t>
            </w:r>
          </w:p>
        </w:tc>
        <w:tc>
          <w:tcPr>
            <w:tcW w:w="2120" w:type="dxa"/>
            <w:tcBorders>
              <w:top w:val="nil"/>
              <w:left w:val="nil"/>
              <w:bottom w:val="single" w:sz="8" w:space="0" w:color="auto"/>
              <w:right w:val="single" w:sz="8" w:space="0" w:color="auto"/>
            </w:tcBorders>
            <w:shd w:val="clear" w:color="auto" w:fill="auto"/>
            <w:vAlign w:val="center"/>
            <w:hideMark/>
          </w:tcPr>
          <w:p w14:paraId="40ABCA50"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[349]</w:t>
            </w:r>
            <w:r w:rsidRPr="007D2212">
              <w:rPr>
                <w:rFonts w:ascii="Arial" w:eastAsia="Times New Roman" w:hAnsi="Arial" w:cs="Arial"/>
                <w:color w:val="000000"/>
                <w:sz w:val="18"/>
                <w:szCs w:val="18"/>
              </w:rPr>
              <w:t>1.4–1.6</w:t>
            </w:r>
          </w:p>
        </w:tc>
        <w:tc>
          <w:tcPr>
            <w:tcW w:w="2120" w:type="dxa"/>
            <w:tcBorders>
              <w:top w:val="nil"/>
              <w:left w:val="nil"/>
              <w:bottom w:val="single" w:sz="8" w:space="0" w:color="auto"/>
              <w:right w:val="single" w:sz="8" w:space="0" w:color="auto"/>
            </w:tcBorders>
            <w:shd w:val="clear" w:color="auto" w:fill="auto"/>
            <w:vAlign w:val="center"/>
            <w:hideMark/>
          </w:tcPr>
          <w:p w14:paraId="197D336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[350]</w:t>
            </w:r>
            <w:r w:rsidRPr="007D2212">
              <w:rPr>
                <w:rFonts w:ascii="Arial" w:eastAsia="Times New Roman" w:hAnsi="Arial" w:cs="Arial"/>
                <w:color w:val="000000"/>
                <w:sz w:val="18"/>
                <w:szCs w:val="18"/>
              </w:rPr>
              <w:t>n/a</w:t>
            </w:r>
          </w:p>
        </w:tc>
        <w:tc>
          <w:tcPr>
            <w:tcW w:w="2120" w:type="dxa"/>
            <w:tcBorders>
              <w:top w:val="nil"/>
              <w:left w:val="nil"/>
              <w:bottom w:val="single" w:sz="8" w:space="0" w:color="auto"/>
              <w:right w:val="single" w:sz="8" w:space="0" w:color="auto"/>
            </w:tcBorders>
            <w:shd w:val="clear" w:color="auto" w:fill="auto"/>
            <w:vAlign w:val="center"/>
            <w:hideMark/>
          </w:tcPr>
          <w:p w14:paraId="732AF107"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[351]</w:t>
            </w:r>
            <w:r w:rsidRPr="007D2212">
              <w:rPr>
                <w:rFonts w:ascii="Arial" w:eastAsia="Times New Roman" w:hAnsi="Arial" w:cs="Arial"/>
                <w:color w:val="000000"/>
                <w:sz w:val="18"/>
                <w:szCs w:val="18"/>
              </w:rPr>
              <w:t xml:space="preserve">1.0–1.8 </w:t>
            </w:r>
          </w:p>
        </w:tc>
        <w:tc>
          <w:tcPr>
            <w:tcW w:w="2120" w:type="dxa"/>
            <w:tcBorders>
              <w:top w:val="nil"/>
              <w:left w:val="nil"/>
              <w:bottom w:val="single" w:sz="8" w:space="0" w:color="auto"/>
              <w:right w:val="single" w:sz="8" w:space="0" w:color="auto"/>
            </w:tcBorders>
            <w:shd w:val="clear" w:color="auto" w:fill="auto"/>
            <w:vAlign w:val="center"/>
            <w:hideMark/>
          </w:tcPr>
          <w:p w14:paraId="516D933A"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[352]</w:t>
            </w:r>
            <w:r w:rsidRPr="007D2212">
              <w:rPr>
                <w:rFonts w:ascii="Arial" w:eastAsia="Times New Roman" w:hAnsi="Arial" w:cs="Arial"/>
                <w:color w:val="000000"/>
                <w:sz w:val="18"/>
                <w:szCs w:val="18"/>
              </w:rPr>
              <w:t>n/a</w:t>
            </w:r>
          </w:p>
        </w:tc>
        <w:tc>
          <w:tcPr>
            <w:tcW w:w="2120" w:type="dxa"/>
            <w:tcBorders>
              <w:top w:val="nil"/>
              <w:left w:val="nil"/>
              <w:bottom w:val="single" w:sz="8" w:space="0" w:color="auto"/>
              <w:right w:val="single" w:sz="8" w:space="0" w:color="auto"/>
            </w:tcBorders>
            <w:shd w:val="clear" w:color="auto" w:fill="auto"/>
            <w:vAlign w:val="center"/>
            <w:hideMark/>
          </w:tcPr>
          <w:p w14:paraId="73B5F14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[353]</w:t>
            </w:r>
            <w:r w:rsidRPr="007D2212">
              <w:rPr>
                <w:rFonts w:ascii="Arial" w:eastAsia="Times New Roman" w:hAnsi="Arial" w:cs="Arial"/>
                <w:color w:val="000000"/>
                <w:sz w:val="18"/>
                <w:szCs w:val="18"/>
              </w:rPr>
              <w:t>n/a</w:t>
            </w:r>
          </w:p>
        </w:tc>
        <w:tc>
          <w:tcPr>
            <w:tcW w:w="2120" w:type="dxa"/>
            <w:tcBorders>
              <w:top w:val="nil"/>
              <w:left w:val="nil"/>
              <w:bottom w:val="single" w:sz="8" w:space="0" w:color="auto"/>
              <w:right w:val="single" w:sz="8" w:space="0" w:color="auto"/>
            </w:tcBorders>
            <w:shd w:val="clear" w:color="auto" w:fill="auto"/>
            <w:vAlign w:val="center"/>
            <w:hideMark/>
          </w:tcPr>
          <w:p w14:paraId="25F74A5A"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[354]</w:t>
            </w:r>
            <w:r w:rsidRPr="007D2212">
              <w:rPr>
                <w:rFonts w:ascii="Arial" w:eastAsia="Times New Roman" w:hAnsi="Arial" w:cs="Arial"/>
                <w:color w:val="000000"/>
                <w:sz w:val="18"/>
                <w:szCs w:val="18"/>
              </w:rPr>
              <w:t>n/a</w:t>
            </w:r>
          </w:p>
        </w:tc>
      </w:tr>
      <w:tr w:rsidR="00612969" w:rsidRPr="007D2212" w14:paraId="01AE1C6F" w14:textId="77777777">
        <w:trPr>
          <w:trHeight w:val="696"/>
        </w:trPr>
        <w:tc>
          <w:tcPr>
            <w:tcW w:w="1280" w:type="dxa"/>
            <w:tcBorders>
              <w:top w:val="nil"/>
              <w:left w:val="single" w:sz="8" w:space="0" w:color="auto"/>
              <w:bottom w:val="single" w:sz="8" w:space="0" w:color="auto"/>
              <w:right w:val="single" w:sz="8" w:space="0" w:color="auto"/>
            </w:tcBorders>
            <w:shd w:val="clear" w:color="auto" w:fill="auto"/>
            <w:vAlign w:val="center"/>
            <w:hideMark/>
          </w:tcPr>
          <w:p w14:paraId="72673B44"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[355]</w:t>
            </w:r>
            <w:r w:rsidRPr="007D2212">
              <w:rPr>
                <w:rFonts w:ascii="Arial" w:eastAsia="Times New Roman" w:hAnsi="Arial" w:cs="Arial"/>
                <w:color w:val="000000"/>
                <w:sz w:val="18"/>
                <w:szCs w:val="18"/>
              </w:rPr>
              <w:t>Aedeagus length (mm) (Figure 7</w:t>
            </w:r>
            <w:r w:rsidR="00C33306" w:rsidRPr="007D2212">
              <w:rPr>
                <w:rFonts w:ascii="Arial" w:eastAsia="Times New Roman" w:hAnsi="Arial" w:cs="Arial"/>
                <w:color w:val="000000"/>
                <w:sz w:val="18"/>
                <w:szCs w:val="18"/>
              </w:rPr>
              <w:t>(d)</w:t>
            </w:r>
            <w:r w:rsidRPr="007D2212">
              <w:rPr>
                <w:rFonts w:ascii="Arial" w:eastAsia="Times New Roman" w:hAnsi="Arial" w:cs="Arial"/>
                <w:color w:val="000000"/>
                <w:sz w:val="18"/>
                <w:szCs w:val="18"/>
              </w:rPr>
              <w:t>)</w:t>
            </w:r>
          </w:p>
        </w:tc>
        <w:tc>
          <w:tcPr>
            <w:tcW w:w="2120" w:type="dxa"/>
            <w:tcBorders>
              <w:top w:val="nil"/>
              <w:left w:val="nil"/>
              <w:bottom w:val="single" w:sz="8" w:space="0" w:color="auto"/>
              <w:right w:val="single" w:sz="8" w:space="0" w:color="auto"/>
            </w:tcBorders>
            <w:shd w:val="clear" w:color="auto" w:fill="auto"/>
            <w:vAlign w:val="center"/>
            <w:hideMark/>
          </w:tcPr>
          <w:p w14:paraId="7D59A5B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[356]</w:t>
            </w:r>
            <w:r w:rsidRPr="007D2212">
              <w:rPr>
                <w:rFonts w:ascii="Arial" w:eastAsia="Times New Roman" w:hAnsi="Arial" w:cs="Arial"/>
                <w:color w:val="000000"/>
                <w:sz w:val="18"/>
                <w:szCs w:val="18"/>
              </w:rPr>
              <w:t>2.0–2.7</w:t>
            </w:r>
          </w:p>
        </w:tc>
        <w:tc>
          <w:tcPr>
            <w:tcW w:w="2120" w:type="dxa"/>
            <w:tcBorders>
              <w:top w:val="nil"/>
              <w:left w:val="nil"/>
              <w:bottom w:val="single" w:sz="8" w:space="0" w:color="auto"/>
              <w:right w:val="single" w:sz="8" w:space="0" w:color="auto"/>
            </w:tcBorders>
            <w:shd w:val="clear" w:color="auto" w:fill="auto"/>
            <w:vAlign w:val="center"/>
            <w:hideMark/>
          </w:tcPr>
          <w:p w14:paraId="73388EF0"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[357]</w:t>
            </w:r>
            <w:r w:rsidRPr="007D2212">
              <w:rPr>
                <w:rFonts w:ascii="Arial" w:eastAsia="Times New Roman" w:hAnsi="Arial" w:cs="Arial"/>
                <w:color w:val="000000"/>
                <w:sz w:val="18"/>
                <w:szCs w:val="18"/>
              </w:rPr>
              <w:t>n/a</w:t>
            </w:r>
          </w:p>
        </w:tc>
        <w:tc>
          <w:tcPr>
            <w:tcW w:w="2120" w:type="dxa"/>
            <w:tcBorders>
              <w:top w:val="nil"/>
              <w:left w:val="nil"/>
              <w:bottom w:val="single" w:sz="8" w:space="0" w:color="auto"/>
              <w:right w:val="single" w:sz="8" w:space="0" w:color="auto"/>
            </w:tcBorders>
            <w:shd w:val="clear" w:color="auto" w:fill="auto"/>
            <w:vAlign w:val="center"/>
            <w:hideMark/>
          </w:tcPr>
          <w:p w14:paraId="5BD08572" w14:textId="45F01365" w:rsidR="00612969" w:rsidRPr="007D2212" w:rsidRDefault="00E97743">
            <w:pPr>
              <w:jc w:val="left"/>
              <w:rPr>
                <w:rFonts w:ascii="Arial" w:eastAsia="Times New Roman" w:hAnsi="Arial" w:cs="Arial"/>
                <w:color w:val="000000"/>
                <w:sz w:val="18"/>
                <w:szCs w:val="18"/>
              </w:rPr>
            </w:pPr>
            <w:r w:rsidRPr="007D2212">
              <w:rPr>
                <w:rStyle w:val="PleaseReviewParagraphId"/>
              </w:rPr>
              <w:t>[358]</w:t>
            </w:r>
            <w:r w:rsidRPr="007D2212">
              <w:rPr>
                <w:rFonts w:ascii="Arial" w:eastAsia="Times New Roman" w:hAnsi="Arial" w:cs="Arial"/>
                <w:color w:val="000000"/>
                <w:sz w:val="18"/>
                <w:szCs w:val="18"/>
              </w:rPr>
              <w:t>2.3–3.5 (inter</w:t>
            </w:r>
            <w:r w:rsidR="007E0093">
              <w:rPr>
                <w:rFonts w:ascii="Arial" w:eastAsia="Times New Roman" w:hAnsi="Arial" w:cs="Arial"/>
                <w:color w:val="000000"/>
                <w:sz w:val="18"/>
                <w:szCs w:val="18"/>
              </w:rPr>
              <w:t>-</w:t>
            </w:r>
            <w:r w:rsidRPr="007D2212">
              <w:rPr>
                <w:rFonts w:ascii="Arial" w:eastAsia="Times New Roman" w:hAnsi="Arial" w:cs="Arial"/>
                <w:color w:val="000000"/>
                <w:sz w:val="18"/>
                <w:szCs w:val="18"/>
              </w:rPr>
              <w:t xml:space="preserve"> or intra-regionally variable)</w:t>
            </w:r>
          </w:p>
        </w:tc>
        <w:tc>
          <w:tcPr>
            <w:tcW w:w="2120" w:type="dxa"/>
            <w:tcBorders>
              <w:top w:val="nil"/>
              <w:left w:val="nil"/>
              <w:bottom w:val="single" w:sz="8" w:space="0" w:color="auto"/>
              <w:right w:val="single" w:sz="8" w:space="0" w:color="auto"/>
            </w:tcBorders>
            <w:shd w:val="clear" w:color="auto" w:fill="auto"/>
            <w:vAlign w:val="center"/>
            <w:hideMark/>
          </w:tcPr>
          <w:p w14:paraId="699C54C8"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[359]</w:t>
            </w:r>
            <w:r w:rsidRPr="007D2212">
              <w:rPr>
                <w:rFonts w:ascii="Arial" w:eastAsia="Times New Roman" w:hAnsi="Arial" w:cs="Arial"/>
                <w:color w:val="000000"/>
                <w:sz w:val="18"/>
                <w:szCs w:val="18"/>
              </w:rPr>
              <w:t>n/a</w:t>
            </w:r>
          </w:p>
        </w:tc>
        <w:tc>
          <w:tcPr>
            <w:tcW w:w="2120" w:type="dxa"/>
            <w:tcBorders>
              <w:top w:val="nil"/>
              <w:left w:val="nil"/>
              <w:bottom w:val="single" w:sz="8" w:space="0" w:color="auto"/>
              <w:right w:val="single" w:sz="8" w:space="0" w:color="auto"/>
            </w:tcBorders>
            <w:shd w:val="clear" w:color="auto" w:fill="auto"/>
            <w:vAlign w:val="center"/>
            <w:hideMark/>
          </w:tcPr>
          <w:p w14:paraId="2D6D6BDA"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[360]</w:t>
            </w:r>
            <w:r w:rsidRPr="007D2212">
              <w:rPr>
                <w:rFonts w:ascii="Arial" w:eastAsia="Times New Roman" w:hAnsi="Arial" w:cs="Arial"/>
                <w:color w:val="000000"/>
                <w:sz w:val="18"/>
                <w:szCs w:val="18"/>
              </w:rPr>
              <w:t>n/a</w:t>
            </w:r>
          </w:p>
        </w:tc>
        <w:tc>
          <w:tcPr>
            <w:tcW w:w="2120" w:type="dxa"/>
            <w:tcBorders>
              <w:top w:val="nil"/>
              <w:left w:val="nil"/>
              <w:bottom w:val="single" w:sz="8" w:space="0" w:color="auto"/>
              <w:right w:val="single" w:sz="8" w:space="0" w:color="auto"/>
            </w:tcBorders>
            <w:shd w:val="clear" w:color="auto" w:fill="auto"/>
            <w:vAlign w:val="center"/>
            <w:hideMark/>
          </w:tcPr>
          <w:p w14:paraId="59CF52F3"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[361]</w:t>
            </w:r>
            <w:r w:rsidRPr="007D2212">
              <w:rPr>
                <w:rFonts w:ascii="Arial" w:eastAsia="Times New Roman" w:hAnsi="Arial" w:cs="Arial"/>
                <w:color w:val="000000"/>
                <w:sz w:val="18"/>
                <w:szCs w:val="18"/>
              </w:rPr>
              <w:t>n/a</w:t>
            </w:r>
          </w:p>
        </w:tc>
      </w:tr>
      <w:tr w:rsidR="00612969" w:rsidRPr="007D2212" w14:paraId="62CAA4F4" w14:textId="77777777">
        <w:trPr>
          <w:trHeight w:val="539"/>
        </w:trPr>
        <w:tc>
          <w:tcPr>
            <w:tcW w:w="1280" w:type="dxa"/>
            <w:tcBorders>
              <w:top w:val="nil"/>
              <w:left w:val="single" w:sz="8" w:space="0" w:color="auto"/>
              <w:bottom w:val="single" w:sz="8" w:space="0" w:color="auto"/>
              <w:right w:val="single" w:sz="8" w:space="0" w:color="auto"/>
            </w:tcBorders>
            <w:shd w:val="clear" w:color="auto" w:fill="auto"/>
            <w:vAlign w:val="center"/>
            <w:hideMark/>
          </w:tcPr>
          <w:p w14:paraId="0F856DDF"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[362]</w:t>
            </w:r>
            <w:r w:rsidRPr="007D2212">
              <w:rPr>
                <w:rFonts w:ascii="Arial" w:eastAsia="Times New Roman" w:hAnsi="Arial" w:cs="Arial"/>
                <w:color w:val="000000"/>
                <w:sz w:val="18"/>
                <w:szCs w:val="18"/>
              </w:rPr>
              <w:t>Ratio (Aed./CuA</w:t>
            </w:r>
            <w:r w:rsidRPr="007D2212">
              <w:rPr>
                <w:rFonts w:ascii="Arial" w:eastAsia="Times New Roman" w:hAnsi="Arial" w:cs="Arial"/>
                <w:color w:val="000000"/>
                <w:sz w:val="18"/>
                <w:szCs w:val="18"/>
                <w:vertAlign w:val="subscript"/>
              </w:rPr>
              <w:t>1</w:t>
            </w:r>
            <w:r w:rsidRPr="007D2212">
              <w:rPr>
                <w:rFonts w:ascii="Arial" w:eastAsia="Times New Roman" w:hAnsi="Arial" w:cs="Arial"/>
                <w:color w:val="000000"/>
                <w:sz w:val="18"/>
                <w:szCs w:val="18"/>
              </w:rPr>
              <w:t>)</w:t>
            </w:r>
          </w:p>
        </w:tc>
        <w:tc>
          <w:tcPr>
            <w:tcW w:w="2120" w:type="dxa"/>
            <w:tcBorders>
              <w:top w:val="nil"/>
              <w:left w:val="nil"/>
              <w:bottom w:val="single" w:sz="8" w:space="0" w:color="auto"/>
              <w:right w:val="single" w:sz="8" w:space="0" w:color="auto"/>
            </w:tcBorders>
            <w:shd w:val="clear" w:color="auto" w:fill="auto"/>
            <w:vAlign w:val="center"/>
            <w:hideMark/>
          </w:tcPr>
          <w:p w14:paraId="0CD4C98D"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[363]</w:t>
            </w:r>
            <w:r w:rsidRPr="007D2212">
              <w:rPr>
                <w:rFonts w:ascii="Arial" w:eastAsia="Times New Roman" w:hAnsi="Arial" w:cs="Arial"/>
                <w:color w:val="000000"/>
                <w:sz w:val="18"/>
                <w:szCs w:val="18"/>
              </w:rPr>
              <w:t>1.2–1.3</w:t>
            </w:r>
          </w:p>
        </w:tc>
        <w:tc>
          <w:tcPr>
            <w:tcW w:w="2120" w:type="dxa"/>
            <w:tcBorders>
              <w:top w:val="nil"/>
              <w:left w:val="nil"/>
              <w:bottom w:val="single" w:sz="8" w:space="0" w:color="auto"/>
              <w:right w:val="single" w:sz="8" w:space="0" w:color="auto"/>
            </w:tcBorders>
            <w:shd w:val="clear" w:color="auto" w:fill="auto"/>
            <w:vAlign w:val="center"/>
            <w:hideMark/>
          </w:tcPr>
          <w:p w14:paraId="5A44DFEB"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[364]</w:t>
            </w:r>
            <w:r w:rsidRPr="007D2212">
              <w:rPr>
                <w:rFonts w:ascii="Arial" w:eastAsia="Times New Roman" w:hAnsi="Arial" w:cs="Arial"/>
                <w:color w:val="000000"/>
                <w:sz w:val="18"/>
                <w:szCs w:val="18"/>
              </w:rPr>
              <w:t>n/a</w:t>
            </w:r>
          </w:p>
        </w:tc>
        <w:tc>
          <w:tcPr>
            <w:tcW w:w="2120" w:type="dxa"/>
            <w:tcBorders>
              <w:top w:val="nil"/>
              <w:left w:val="nil"/>
              <w:bottom w:val="single" w:sz="8" w:space="0" w:color="auto"/>
              <w:right w:val="single" w:sz="8" w:space="0" w:color="auto"/>
            </w:tcBorders>
            <w:shd w:val="clear" w:color="auto" w:fill="auto"/>
            <w:vAlign w:val="center"/>
            <w:hideMark/>
          </w:tcPr>
          <w:p w14:paraId="1F4F0EF8"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[365]</w:t>
            </w:r>
            <w:r w:rsidRPr="007D2212">
              <w:rPr>
                <w:rFonts w:ascii="Arial" w:eastAsia="Times New Roman" w:hAnsi="Arial" w:cs="Arial"/>
                <w:color w:val="000000"/>
                <w:sz w:val="18"/>
                <w:szCs w:val="18"/>
              </w:rPr>
              <w:t>1.2–1.4</w:t>
            </w:r>
          </w:p>
        </w:tc>
        <w:tc>
          <w:tcPr>
            <w:tcW w:w="2120" w:type="dxa"/>
            <w:tcBorders>
              <w:top w:val="nil"/>
              <w:left w:val="nil"/>
              <w:bottom w:val="single" w:sz="8" w:space="0" w:color="auto"/>
              <w:right w:val="single" w:sz="8" w:space="0" w:color="auto"/>
            </w:tcBorders>
            <w:shd w:val="clear" w:color="auto" w:fill="auto"/>
            <w:vAlign w:val="center"/>
            <w:hideMark/>
          </w:tcPr>
          <w:p w14:paraId="36FDF658"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[366]</w:t>
            </w:r>
            <w:r w:rsidRPr="007D2212">
              <w:rPr>
                <w:rFonts w:ascii="Arial" w:eastAsia="Times New Roman" w:hAnsi="Arial" w:cs="Arial"/>
                <w:color w:val="000000"/>
                <w:sz w:val="18"/>
                <w:szCs w:val="18"/>
              </w:rPr>
              <w:t>n/a</w:t>
            </w:r>
          </w:p>
        </w:tc>
        <w:tc>
          <w:tcPr>
            <w:tcW w:w="2120" w:type="dxa"/>
            <w:tcBorders>
              <w:top w:val="nil"/>
              <w:left w:val="nil"/>
              <w:bottom w:val="single" w:sz="8" w:space="0" w:color="auto"/>
              <w:right w:val="single" w:sz="8" w:space="0" w:color="auto"/>
            </w:tcBorders>
            <w:shd w:val="clear" w:color="auto" w:fill="auto"/>
            <w:vAlign w:val="center"/>
            <w:hideMark/>
          </w:tcPr>
          <w:p w14:paraId="47E054ED"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[367]</w:t>
            </w:r>
            <w:r w:rsidRPr="007D2212">
              <w:rPr>
                <w:rFonts w:ascii="Arial" w:eastAsia="Times New Roman" w:hAnsi="Arial" w:cs="Arial"/>
                <w:color w:val="000000"/>
                <w:sz w:val="18"/>
                <w:szCs w:val="18"/>
              </w:rPr>
              <w:t>n/a</w:t>
            </w:r>
          </w:p>
        </w:tc>
        <w:tc>
          <w:tcPr>
            <w:tcW w:w="2120" w:type="dxa"/>
            <w:tcBorders>
              <w:top w:val="nil"/>
              <w:left w:val="nil"/>
              <w:bottom w:val="single" w:sz="8" w:space="0" w:color="auto"/>
              <w:right w:val="single" w:sz="8" w:space="0" w:color="auto"/>
            </w:tcBorders>
            <w:shd w:val="clear" w:color="auto" w:fill="auto"/>
            <w:vAlign w:val="center"/>
            <w:hideMark/>
          </w:tcPr>
          <w:p w14:paraId="0426E277" w14:textId="77777777" w:rsidR="00612969" w:rsidRPr="007D2212" w:rsidRDefault="00E97743">
            <w:pPr>
              <w:jc w:val="left"/>
              <w:rPr>
                <w:rFonts w:ascii="Arial" w:eastAsia="Times New Roman" w:hAnsi="Arial" w:cs="Arial"/>
                <w:color w:val="000000"/>
                <w:sz w:val="18"/>
                <w:szCs w:val="18"/>
              </w:rPr>
            </w:pPr>
            <w:r w:rsidRPr="007D2212">
              <w:rPr>
                <w:rStyle w:val="PleaseReviewParagraphId"/>
              </w:rPr>
              <w:t>[368]</w:t>
            </w:r>
            <w:r w:rsidRPr="007D2212">
              <w:rPr>
                <w:rFonts w:ascii="Arial" w:eastAsia="Times New Roman" w:hAnsi="Arial" w:cs="Arial"/>
                <w:color w:val="000000"/>
                <w:sz w:val="18"/>
                <w:szCs w:val="18"/>
              </w:rPr>
              <w:t>n/a</w:t>
            </w:r>
          </w:p>
        </w:tc>
      </w:tr>
    </w:tbl>
    <w:p w14:paraId="1327078D" w14:textId="32C30C34" w:rsidR="00612969" w:rsidRPr="007D2212" w:rsidRDefault="00E97743">
      <w:pPr>
        <w:pStyle w:val="IPPArialFootnote"/>
        <w:rPr>
          <w:lang w:eastAsia="ja-JP"/>
        </w:rPr>
      </w:pPr>
      <w:r w:rsidRPr="007D2212">
        <w:rPr>
          <w:rStyle w:val="PleaseReviewParagraphId"/>
        </w:rPr>
        <w:t>[369]</w:t>
      </w:r>
      <w:r w:rsidRPr="007D2212">
        <w:t xml:space="preserve">Acul., aculeus length; Aed., aedeagus length; </w:t>
      </w:r>
      <w:r w:rsidRPr="007D2212">
        <w:rPr>
          <w:lang w:eastAsia="ja-JP"/>
        </w:rPr>
        <w:t>CuA</w:t>
      </w:r>
      <w:r w:rsidRPr="007D2212">
        <w:rPr>
          <w:vertAlign w:val="subscript"/>
          <w:lang w:eastAsia="ja-JP"/>
        </w:rPr>
        <w:t>1</w:t>
      </w:r>
      <w:r w:rsidRPr="007D2212">
        <w:rPr>
          <w:lang w:eastAsia="ja-JP"/>
        </w:rPr>
        <w:t xml:space="preserve">, first </w:t>
      </w:r>
      <w:r w:rsidRPr="007D2212">
        <w:t>anterior branch of cubitus vein (see Figure</w:t>
      </w:r>
      <w:r w:rsidR="00027D65">
        <w:t> </w:t>
      </w:r>
      <w:r w:rsidRPr="007D2212">
        <w:t>9)</w:t>
      </w:r>
      <w:r w:rsidRPr="007D2212">
        <w:rPr>
          <w:lang w:eastAsia="ja-JP"/>
        </w:rPr>
        <w:t xml:space="preserve">; ia., intra-alar; n/a, not available; npl., notopleural; </w:t>
      </w:r>
      <w:r w:rsidRPr="007D2212">
        <w:t>R</w:t>
      </w:r>
      <w:r w:rsidRPr="007D2212">
        <w:rPr>
          <w:vertAlign w:val="subscript"/>
        </w:rPr>
        <w:t>2+3</w:t>
      </w:r>
      <w:r w:rsidRPr="007D2212">
        <w:t>, R</w:t>
      </w:r>
      <w:r w:rsidRPr="007D2212">
        <w:rPr>
          <w:vertAlign w:val="subscript"/>
        </w:rPr>
        <w:t>4+5</w:t>
      </w:r>
      <w:r w:rsidRPr="007D2212">
        <w:t>, posterior branches of radial vein (see Figure</w:t>
      </w:r>
      <w:r w:rsidR="00027D65">
        <w:t> </w:t>
      </w:r>
      <w:r w:rsidRPr="007D2212">
        <w:t>9).</w:t>
      </w:r>
    </w:p>
    <w:p w14:paraId="5B5956B5" w14:textId="77777777" w:rsidR="00612969" w:rsidRPr="007D2212" w:rsidRDefault="00E97743">
      <w:pPr>
        <w:pStyle w:val="IPPParagraphnumbering"/>
        <w:rPr>
          <w:rFonts w:eastAsiaTheme="minorEastAsia"/>
          <w:b/>
          <w:color w:val="000000"/>
          <w:lang w:val="en-GB" w:eastAsia="ja-JP"/>
        </w:rPr>
        <w:sectPr w:rsidR="00612969" w:rsidRPr="007D2212" w:rsidSect="009F07B3">
          <w:headerReference w:type="first" r:id="rId14"/>
          <w:pgSz w:w="16838" w:h="11906" w:orient="landscape"/>
          <w:pgMar w:top="1440" w:right="1440" w:bottom="1440" w:left="1440" w:header="708" w:footer="708" w:gutter="0"/>
          <w:cols w:space="708"/>
          <w:docGrid w:linePitch="360"/>
        </w:sectPr>
      </w:pPr>
      <w:r w:rsidRPr="007D2212">
        <w:rPr>
          <w:rStyle w:val="PleaseReviewParagraphId"/>
          <w:lang w:val="en-GB"/>
        </w:rPr>
        <w:t>[370]</w:t>
      </w:r>
    </w:p>
    <w:p w14:paraId="0D603739" w14:textId="77777777" w:rsidR="00612969" w:rsidRPr="007D2212" w:rsidRDefault="00E97743" w:rsidP="00A4522D">
      <w:pPr>
        <w:pStyle w:val="IPPHeading2"/>
      </w:pPr>
      <w:r w:rsidRPr="007D2212">
        <w:rPr>
          <w:rStyle w:val="PleaseReviewParagraphId"/>
          <w:b w:val="0"/>
        </w:rPr>
        <w:lastRenderedPageBreak/>
        <w:t>[372]</w:t>
      </w:r>
      <w:r w:rsidRPr="007D2212">
        <w:t>4.2.4</w:t>
      </w:r>
      <w:r w:rsidRPr="007D2212">
        <w:tab/>
        <w:t xml:space="preserve">Diagnostic key to six species of economic importance belonging to the </w:t>
      </w:r>
      <w:r w:rsidRPr="00A4522D">
        <w:rPr>
          <w:i/>
        </w:rPr>
        <w:t>Bactrocera dorsalis</w:t>
      </w:r>
      <w:r w:rsidRPr="007D2212">
        <w:t xml:space="preserve"> complex (adult)</w:t>
      </w:r>
    </w:p>
    <w:p w14:paraId="3F33348A" w14:textId="4DF8BA86" w:rsidR="00612969" w:rsidRPr="007D2212" w:rsidRDefault="00E97743" w:rsidP="00A4522D">
      <w:pPr>
        <w:pStyle w:val="IPPNormal"/>
        <w:tabs>
          <w:tab w:val="right" w:leader="dot" w:pos="9072"/>
        </w:tabs>
      </w:pPr>
      <w:r w:rsidRPr="007D2212">
        <w:rPr>
          <w:rStyle w:val="PleaseReviewParagraphId"/>
        </w:rPr>
        <w:t>[373]</w:t>
      </w:r>
      <w:r w:rsidRPr="007D2212">
        <w:t>1.</w:t>
      </w:r>
      <w:r w:rsidR="00417A51">
        <w:t> </w:t>
      </w:r>
      <w:r w:rsidRPr="007D2212">
        <w:t>Postpronotal lobe yellow with dark anteromedial corner (Figures 1</w:t>
      </w:r>
      <w:r w:rsidRPr="007D2212">
        <w:rPr>
          <w:rFonts w:eastAsiaTheme="minorEastAsia"/>
          <w:lang w:eastAsia="ja-JP"/>
        </w:rPr>
        <w:t>8(</w:t>
      </w:r>
      <w:r w:rsidRPr="007D2212">
        <w:t>b) and (d)</w:t>
      </w:r>
      <w:r w:rsidRPr="007D2212">
        <w:rPr>
          <w:rFonts w:eastAsiaTheme="minorEastAsia"/>
          <w:lang w:eastAsia="ja-JP"/>
        </w:rPr>
        <w:t>)</w:t>
      </w:r>
      <w:r w:rsidR="006224E4">
        <w:rPr>
          <w:rFonts w:eastAsiaTheme="minorEastAsia"/>
          <w:lang w:eastAsia="ja-JP"/>
        </w:rPr>
        <w:tab/>
      </w:r>
      <w:r w:rsidRPr="00A4522D">
        <w:rPr>
          <w:rStyle w:val="IPPNormalbold"/>
        </w:rPr>
        <w:t>2</w:t>
      </w:r>
    </w:p>
    <w:p w14:paraId="2A7359C4" w14:textId="5A188038" w:rsidR="00612969" w:rsidRPr="007D2212" w:rsidRDefault="00E97743" w:rsidP="00A4522D">
      <w:pPr>
        <w:pStyle w:val="IPPNormal"/>
        <w:tabs>
          <w:tab w:val="right" w:leader="dot" w:pos="9072"/>
        </w:tabs>
      </w:pPr>
      <w:r w:rsidRPr="007D2212">
        <w:rPr>
          <w:rStyle w:val="PleaseReviewParagraphId"/>
        </w:rPr>
        <w:t>[374]</w:t>
      </w:r>
      <w:r w:rsidRPr="007D2212">
        <w:t>– Postpronotal lobe entirely yellow (Figures 1</w:t>
      </w:r>
      <w:r w:rsidRPr="007D2212">
        <w:rPr>
          <w:rFonts w:eastAsiaTheme="minorEastAsia"/>
          <w:lang w:eastAsia="ja-JP"/>
        </w:rPr>
        <w:t>8(</w:t>
      </w:r>
      <w:r w:rsidRPr="007D2212">
        <w:t>a), (c), (e), (f))</w:t>
      </w:r>
      <w:r w:rsidR="006224E4">
        <w:tab/>
      </w:r>
      <w:r w:rsidRPr="00A4522D">
        <w:rPr>
          <w:rStyle w:val="IPPNormalbold"/>
        </w:rPr>
        <w:t>3</w:t>
      </w:r>
    </w:p>
    <w:p w14:paraId="2647808F" w14:textId="3AAA40C0" w:rsidR="00612969" w:rsidRPr="007D2212" w:rsidRDefault="00E97743" w:rsidP="00A4522D">
      <w:pPr>
        <w:pStyle w:val="IPPNormal"/>
        <w:tabs>
          <w:tab w:val="right" w:leader="dot" w:pos="9072"/>
        </w:tabs>
        <w:rPr>
          <w:i/>
        </w:rPr>
      </w:pPr>
      <w:r w:rsidRPr="007D2212">
        <w:rPr>
          <w:rStyle w:val="PleaseReviewParagraphId"/>
        </w:rPr>
        <w:t>[375]</w:t>
      </w:r>
      <w:r w:rsidRPr="007D2212">
        <w:t>2.</w:t>
      </w:r>
      <w:r w:rsidR="00417A51">
        <w:t> </w:t>
      </w:r>
      <w:r w:rsidRPr="007D2212">
        <w:t xml:space="preserve">Scutum </w:t>
      </w:r>
      <w:r w:rsidR="007762A4" w:rsidRPr="007D2212">
        <w:rPr>
          <w:rFonts w:eastAsiaTheme="minorEastAsia"/>
          <w:lang w:eastAsia="ja-JP"/>
        </w:rPr>
        <w:t xml:space="preserve">entirely </w:t>
      </w:r>
      <w:r w:rsidRPr="007D2212">
        <w:t>black (Figure 12(b)), abdominal tergites 3–5 with broad black dorsolateral markings (Figures 1</w:t>
      </w:r>
      <w:r w:rsidRPr="007D2212">
        <w:rPr>
          <w:rFonts w:eastAsiaTheme="minorEastAsia"/>
          <w:lang w:eastAsia="ja-JP"/>
        </w:rPr>
        <w:t>6(</w:t>
      </w:r>
      <w:r w:rsidRPr="007D2212">
        <w:t>b) and 1</w:t>
      </w:r>
      <w:r w:rsidRPr="007D2212">
        <w:rPr>
          <w:rFonts w:eastAsiaTheme="minorEastAsia"/>
          <w:lang w:eastAsia="ja-JP"/>
        </w:rPr>
        <w:t>7(</w:t>
      </w:r>
      <w:r w:rsidRPr="007D2212">
        <w:t>b))</w:t>
      </w:r>
      <w:r w:rsidRPr="007D2212">
        <w:rPr>
          <w:rFonts w:eastAsiaTheme="minorEastAsia"/>
          <w:lang w:eastAsia="ja-JP"/>
        </w:rPr>
        <w:t xml:space="preserve">; </w:t>
      </w:r>
      <w:r w:rsidRPr="007D2212">
        <w:t xml:space="preserve">lateral vittae </w:t>
      </w:r>
      <w:r w:rsidRPr="007D2212">
        <w:rPr>
          <w:rFonts w:eastAsiaTheme="minorEastAsia"/>
          <w:lang w:eastAsia="ja-JP"/>
        </w:rPr>
        <w:t xml:space="preserve">very </w:t>
      </w:r>
      <w:r w:rsidRPr="007D2212">
        <w:t>narrow (Figure</w:t>
      </w:r>
      <w:r w:rsidR="00027D65">
        <w:t> </w:t>
      </w:r>
      <w:r w:rsidRPr="007D2212">
        <w:t>3(b))</w:t>
      </w:r>
      <w:r w:rsidR="006224E4">
        <w:tab/>
      </w:r>
      <w:r w:rsidRPr="00A4522D">
        <w:rPr>
          <w:rStyle w:val="IPPnormalitalics"/>
          <w:b/>
        </w:rPr>
        <w:t>B. caryeae</w:t>
      </w:r>
    </w:p>
    <w:p w14:paraId="201BA4F3" w14:textId="3082DA45" w:rsidR="00612969" w:rsidRPr="007D2212" w:rsidRDefault="00E97743" w:rsidP="00A4522D">
      <w:pPr>
        <w:pStyle w:val="IPPNormal"/>
        <w:tabs>
          <w:tab w:val="right" w:leader="dot" w:pos="9072"/>
        </w:tabs>
        <w:rPr>
          <w:i/>
        </w:rPr>
      </w:pPr>
      <w:r w:rsidRPr="007D2212">
        <w:rPr>
          <w:rStyle w:val="PleaseReviewParagraphId"/>
        </w:rPr>
        <w:t>[376]</w:t>
      </w:r>
      <w:r w:rsidRPr="007D2212">
        <w:t xml:space="preserve">– Scutum </w:t>
      </w:r>
      <w:r w:rsidR="007762A4" w:rsidRPr="007D2212">
        <w:t xml:space="preserve">mostly </w:t>
      </w:r>
      <w:r w:rsidRPr="007D2212">
        <w:rPr>
          <w:rFonts w:eastAsiaTheme="minorEastAsia"/>
          <w:lang w:eastAsia="ja-JP"/>
        </w:rPr>
        <w:t>black</w:t>
      </w:r>
      <w:r w:rsidRPr="007D2212">
        <w:t xml:space="preserve"> (Figure 12(d)), abdominal tergites 3–5 with “T” pattern and tergites 4–5 with very narrow anterolateral black marking (Figures 1</w:t>
      </w:r>
      <w:r w:rsidRPr="007D2212">
        <w:rPr>
          <w:rFonts w:eastAsiaTheme="minorEastAsia"/>
          <w:lang w:eastAsia="ja-JP"/>
        </w:rPr>
        <w:t>6(d) and 17(d)</w:t>
      </w:r>
      <w:r w:rsidRPr="007D2212">
        <w:t>)</w:t>
      </w:r>
      <w:r w:rsidRPr="007D2212">
        <w:rPr>
          <w:rFonts w:eastAsiaTheme="minorEastAsia"/>
          <w:lang w:eastAsia="ja-JP"/>
        </w:rPr>
        <w:t>; lateral vittae narrow (Figure 3(d))</w:t>
      </w:r>
      <w:r w:rsidR="006224E4">
        <w:rPr>
          <w:rFonts w:eastAsiaTheme="minorEastAsia"/>
          <w:lang w:eastAsia="ja-JP"/>
        </w:rPr>
        <w:tab/>
      </w:r>
      <w:r w:rsidRPr="00A4522D">
        <w:rPr>
          <w:rStyle w:val="IPPnormalitalics"/>
          <w:b/>
        </w:rPr>
        <w:t>B. kandiensis</w:t>
      </w:r>
    </w:p>
    <w:p w14:paraId="5F93BE31" w14:textId="3ACA3732" w:rsidR="00612969" w:rsidRPr="007D2212" w:rsidRDefault="00E97743" w:rsidP="00A4522D">
      <w:pPr>
        <w:pStyle w:val="IPPNormal"/>
        <w:tabs>
          <w:tab w:val="right" w:leader="dot" w:pos="9072"/>
        </w:tabs>
      </w:pPr>
      <w:r w:rsidRPr="007D2212">
        <w:rPr>
          <w:rStyle w:val="PleaseReviewParagraphId"/>
        </w:rPr>
        <w:t>[377]</w:t>
      </w:r>
      <w:r w:rsidRPr="007D2212">
        <w:t>3.</w:t>
      </w:r>
      <w:r w:rsidR="00417A51">
        <w:t> </w:t>
      </w:r>
      <w:r w:rsidRPr="007D2212">
        <w:t>Costal band distinctly overlapping R</w:t>
      </w:r>
      <w:r w:rsidRPr="007D2212">
        <w:rPr>
          <w:vertAlign w:val="subscript"/>
        </w:rPr>
        <w:t>2+3</w:t>
      </w:r>
      <w:r w:rsidRPr="007D2212">
        <w:t xml:space="preserve"> and expanding broadly around apex of wing reaching mid-point between R</w:t>
      </w:r>
      <w:r w:rsidRPr="007D2212">
        <w:rPr>
          <w:vertAlign w:val="subscript"/>
        </w:rPr>
        <w:t>2+3</w:t>
      </w:r>
      <w:r w:rsidRPr="007D2212">
        <w:t xml:space="preserve"> and R</w:t>
      </w:r>
      <w:r w:rsidRPr="007D2212">
        <w:rPr>
          <w:vertAlign w:val="subscript"/>
        </w:rPr>
        <w:t>4+5</w:t>
      </w:r>
      <w:r w:rsidRPr="007D2212">
        <w:t xml:space="preserve"> (Figure 15(e))</w:t>
      </w:r>
      <w:r w:rsidR="006224E4">
        <w:tab/>
      </w:r>
      <w:r w:rsidRPr="00A4522D">
        <w:rPr>
          <w:rStyle w:val="IPPnormalitalics"/>
          <w:b/>
        </w:rPr>
        <w:t>B. occipitalis</w:t>
      </w:r>
    </w:p>
    <w:p w14:paraId="41F43551" w14:textId="1DFD4971" w:rsidR="00612969" w:rsidRPr="007D2212" w:rsidRDefault="00E97743" w:rsidP="00A4522D">
      <w:pPr>
        <w:pStyle w:val="IPPNormal"/>
        <w:tabs>
          <w:tab w:val="right" w:leader="dot" w:pos="9072"/>
        </w:tabs>
      </w:pPr>
      <w:r w:rsidRPr="007D2212">
        <w:rPr>
          <w:rStyle w:val="PleaseReviewParagraphId"/>
        </w:rPr>
        <w:t>[378]</w:t>
      </w:r>
      <w:r w:rsidRPr="007D2212">
        <w:t xml:space="preserve">– Costal band widening slightly </w:t>
      </w:r>
      <w:r w:rsidR="007762A4" w:rsidRPr="007D2212">
        <w:t>(Figure</w:t>
      </w:r>
      <w:r w:rsidR="00027D65">
        <w:t> </w:t>
      </w:r>
      <w:r w:rsidR="007762A4" w:rsidRPr="007D2212">
        <w:t xml:space="preserve">15(c)) </w:t>
      </w:r>
      <w:r w:rsidRPr="007D2212">
        <w:t xml:space="preserve">to moderately </w:t>
      </w:r>
      <w:r w:rsidR="007762A4" w:rsidRPr="007D2212">
        <w:t>(Figure</w:t>
      </w:r>
      <w:r w:rsidR="00027D65">
        <w:t> </w:t>
      </w:r>
      <w:r w:rsidR="007762A4" w:rsidRPr="007D2212">
        <w:t xml:space="preserve">15(a)) </w:t>
      </w:r>
      <w:r w:rsidRPr="007D2212">
        <w:t>around apex of wing</w:t>
      </w:r>
      <w:r w:rsidR="006224E4">
        <w:tab/>
      </w:r>
      <w:r w:rsidR="006224E4">
        <w:tab/>
      </w:r>
      <w:r w:rsidRPr="00A4522D">
        <w:rPr>
          <w:rStyle w:val="IPPNormalbold"/>
        </w:rPr>
        <w:t>4</w:t>
      </w:r>
    </w:p>
    <w:p w14:paraId="50AE4442" w14:textId="60D6081F" w:rsidR="00612969" w:rsidRPr="007D2212" w:rsidRDefault="00E97743" w:rsidP="00A4522D">
      <w:pPr>
        <w:pStyle w:val="IPPNormal"/>
        <w:tabs>
          <w:tab w:val="right" w:leader="dot" w:pos="9072"/>
        </w:tabs>
      </w:pPr>
      <w:r w:rsidRPr="007D2212">
        <w:rPr>
          <w:rStyle w:val="PleaseReviewParagraphId"/>
        </w:rPr>
        <w:t>[379]</w:t>
      </w:r>
      <w:r w:rsidRPr="007D2212">
        <w:t>4.</w:t>
      </w:r>
      <w:r w:rsidR="00417A51">
        <w:t> </w:t>
      </w:r>
      <w:r w:rsidRPr="007D2212">
        <w:t>Abdominal tergites 3–5 with broad black dorsolateral markings (Figures 1</w:t>
      </w:r>
      <w:r w:rsidRPr="007D2212">
        <w:rPr>
          <w:rFonts w:eastAsiaTheme="minorEastAsia"/>
          <w:lang w:eastAsia="ja-JP"/>
        </w:rPr>
        <w:t>6(</w:t>
      </w:r>
      <w:r w:rsidRPr="007D2212">
        <w:t>f) and 1</w:t>
      </w:r>
      <w:r w:rsidRPr="007D2212">
        <w:rPr>
          <w:rFonts w:eastAsiaTheme="minorEastAsia"/>
          <w:lang w:eastAsia="ja-JP"/>
        </w:rPr>
        <w:t>7(</w:t>
      </w:r>
      <w:r w:rsidRPr="007D2212">
        <w:t>f))</w:t>
      </w:r>
      <w:r w:rsidR="006224E4">
        <w:tab/>
      </w:r>
      <w:r w:rsidRPr="00A4522D">
        <w:rPr>
          <w:rStyle w:val="IPPnormalitalics"/>
          <w:b/>
        </w:rPr>
        <w:t>B. pyrifoliae</w:t>
      </w:r>
    </w:p>
    <w:p w14:paraId="487D7E07" w14:textId="0E0278A3" w:rsidR="00612969" w:rsidRPr="007D2212" w:rsidRDefault="00E97743" w:rsidP="00A4522D">
      <w:pPr>
        <w:pStyle w:val="IPPNormal"/>
        <w:tabs>
          <w:tab w:val="right" w:leader="dot" w:pos="9072"/>
        </w:tabs>
      </w:pPr>
      <w:r w:rsidRPr="007D2212">
        <w:rPr>
          <w:rStyle w:val="PleaseReviewParagraphId"/>
        </w:rPr>
        <w:t>[380]</w:t>
      </w:r>
      <w:r w:rsidRPr="007D2212">
        <w:t>– Abdominal tergites 3–5 without broad black dorsolateral markings</w:t>
      </w:r>
      <w:r w:rsidR="006224E4">
        <w:tab/>
      </w:r>
      <w:r w:rsidRPr="00A4522D">
        <w:rPr>
          <w:rStyle w:val="IPPNormalbold"/>
        </w:rPr>
        <w:t>5</w:t>
      </w:r>
    </w:p>
    <w:p w14:paraId="1158BB85" w14:textId="770ACD44" w:rsidR="00612969" w:rsidRPr="007D2212" w:rsidRDefault="00E97743" w:rsidP="00A4522D">
      <w:pPr>
        <w:pStyle w:val="IPPNormal"/>
        <w:tabs>
          <w:tab w:val="right" w:leader="dot" w:pos="9072"/>
        </w:tabs>
      </w:pPr>
      <w:r w:rsidRPr="007D2212">
        <w:rPr>
          <w:rStyle w:val="PleaseReviewParagraphId"/>
        </w:rPr>
        <w:t>[381]</w:t>
      </w:r>
      <w:r w:rsidRPr="007D2212">
        <w:t>5.</w:t>
      </w:r>
      <w:r w:rsidR="00417A51">
        <w:t> </w:t>
      </w:r>
      <w:r w:rsidRPr="007D2212">
        <w:t>Costal band slightly overlapping R</w:t>
      </w:r>
      <w:r w:rsidRPr="007D2212">
        <w:rPr>
          <w:vertAlign w:val="subscript"/>
        </w:rPr>
        <w:t>2+3</w:t>
      </w:r>
      <w:r w:rsidRPr="007D2212">
        <w:t>, moderately broad around apex of wing</w:t>
      </w:r>
      <w:r w:rsidR="00BD7CA6">
        <w:t xml:space="preserve"> </w:t>
      </w:r>
      <w:r w:rsidR="00BD7CA6" w:rsidRPr="007D2212">
        <w:t>(Figure 15(a))</w:t>
      </w:r>
      <w:r w:rsidRPr="007D2212">
        <w:rPr>
          <w:rFonts w:eastAsiaTheme="minorEastAsia"/>
          <w:lang w:eastAsia="ja-JP"/>
        </w:rPr>
        <w:t>; a</w:t>
      </w:r>
      <w:r w:rsidRPr="007D2212">
        <w:t>bdominal tergite 3 with a narrow transverse black band across anterior margin (constituting a “T” pattern), widening to cover lateral margins</w:t>
      </w:r>
      <w:r w:rsidRPr="007D2212">
        <w:rPr>
          <w:rFonts w:eastAsiaTheme="minorEastAsia"/>
          <w:lang w:eastAsia="ja-JP"/>
        </w:rPr>
        <w:t xml:space="preserve">; </w:t>
      </w:r>
      <w:r w:rsidRPr="007D2212">
        <w:t>tergite 4 with rectangular (occasionally triangular) anterolateral or narrow lateral black markings</w:t>
      </w:r>
      <w:r w:rsidRPr="007D2212">
        <w:rPr>
          <w:rFonts w:eastAsiaTheme="minorEastAsia"/>
          <w:lang w:eastAsia="ja-JP"/>
        </w:rPr>
        <w:t xml:space="preserve">; </w:t>
      </w:r>
      <w:r w:rsidRPr="007D2212">
        <w:t>tergites 3–5 with medium</w:t>
      </w:r>
      <w:r w:rsidR="007E0093">
        <w:t>-</w:t>
      </w:r>
      <w:r w:rsidRPr="007D2212">
        <w:t>width medial longitudinal black stripe (Figures 1</w:t>
      </w:r>
      <w:r w:rsidRPr="007D2212">
        <w:rPr>
          <w:rFonts w:eastAsiaTheme="minorEastAsia"/>
          <w:lang w:eastAsia="ja-JP"/>
        </w:rPr>
        <w:t>6(</w:t>
      </w:r>
      <w:r w:rsidRPr="007D2212">
        <w:t>a) and 1</w:t>
      </w:r>
      <w:r w:rsidRPr="007D2212">
        <w:rPr>
          <w:rFonts w:eastAsiaTheme="minorEastAsia"/>
          <w:lang w:eastAsia="ja-JP"/>
        </w:rPr>
        <w:t>7(</w:t>
      </w:r>
      <w:r w:rsidRPr="007D2212">
        <w:t>a))</w:t>
      </w:r>
      <w:r w:rsidR="006224E4">
        <w:tab/>
      </w:r>
      <w:r w:rsidRPr="00A4522D">
        <w:rPr>
          <w:rStyle w:val="IPPnormalitalics"/>
          <w:b/>
        </w:rPr>
        <w:t>B. carambolae</w:t>
      </w:r>
    </w:p>
    <w:p w14:paraId="141EA327" w14:textId="7471A82E" w:rsidR="00612969" w:rsidRPr="007D2212" w:rsidRDefault="00E97743" w:rsidP="00A4522D">
      <w:pPr>
        <w:pStyle w:val="IPPNormal"/>
        <w:tabs>
          <w:tab w:val="right" w:leader="dot" w:pos="9072"/>
        </w:tabs>
      </w:pPr>
      <w:r w:rsidRPr="007D2212">
        <w:rPr>
          <w:rStyle w:val="PleaseReviewParagraphId"/>
        </w:rPr>
        <w:t>[382]</w:t>
      </w:r>
      <w:r w:rsidRPr="007D2212">
        <w:t>– Costal band confluent with R</w:t>
      </w:r>
      <w:r w:rsidRPr="007D2212">
        <w:rPr>
          <w:vertAlign w:val="subscript"/>
        </w:rPr>
        <w:t>2+3</w:t>
      </w:r>
      <w:r w:rsidRPr="007D2212">
        <w:t>, narrow to moderately broad around apex of wing (Figure 15(c))</w:t>
      </w:r>
      <w:r w:rsidRPr="007D2212">
        <w:rPr>
          <w:rFonts w:eastAsiaTheme="minorEastAsia"/>
          <w:lang w:eastAsia="ja-JP"/>
        </w:rPr>
        <w:t>;</w:t>
      </w:r>
      <w:r w:rsidRPr="007D2212">
        <w:t xml:space="preserve"> </w:t>
      </w:r>
      <w:r w:rsidRPr="007D2212">
        <w:rPr>
          <w:rFonts w:eastAsiaTheme="minorEastAsia"/>
          <w:lang w:eastAsia="ja-JP"/>
        </w:rPr>
        <w:t>a</w:t>
      </w:r>
      <w:r w:rsidRPr="007D2212">
        <w:t>bdominal tergite 3 exhibits variations from black band across anterior margin (constituting a “T” pattern) to broad lateral bands, tergite 4 without markings or with anterolateral or narrow lateral black margins (occasionally</w:t>
      </w:r>
      <w:r w:rsidRPr="007D2212">
        <w:rPr>
          <w:rFonts w:eastAsiaTheme="minorEastAsia"/>
          <w:lang w:eastAsia="ja-JP"/>
        </w:rPr>
        <w:t xml:space="preserve"> </w:t>
      </w:r>
      <w:r w:rsidRPr="007D2212">
        <w:t>rectangular), tergite 5 without markings or with anterolateral black markings (Figures 1</w:t>
      </w:r>
      <w:r w:rsidRPr="007D2212">
        <w:rPr>
          <w:rFonts w:eastAsiaTheme="minorEastAsia"/>
          <w:lang w:eastAsia="ja-JP"/>
        </w:rPr>
        <w:t>6(</w:t>
      </w:r>
      <w:r w:rsidRPr="007D2212">
        <w:t>c) and 1</w:t>
      </w:r>
      <w:r w:rsidRPr="007D2212">
        <w:rPr>
          <w:rFonts w:eastAsiaTheme="minorEastAsia"/>
          <w:lang w:eastAsia="ja-JP"/>
        </w:rPr>
        <w:t>7(</w:t>
      </w:r>
      <w:r w:rsidRPr="007D2212">
        <w:t>c))</w:t>
      </w:r>
      <w:r w:rsidR="006224E4">
        <w:tab/>
      </w:r>
      <w:r w:rsidRPr="00A4522D">
        <w:rPr>
          <w:rStyle w:val="IPPnormalitalics"/>
          <w:b/>
        </w:rPr>
        <w:t>B. dorsalis s.l.</w:t>
      </w:r>
    </w:p>
    <w:p w14:paraId="7665CDBB" w14:textId="77777777" w:rsidR="00612969" w:rsidRPr="007D2212" w:rsidRDefault="00E97743">
      <w:pPr>
        <w:pStyle w:val="IPPHeading2"/>
      </w:pPr>
      <w:r w:rsidRPr="007D2212">
        <w:rPr>
          <w:rStyle w:val="PleaseReviewParagraphId"/>
          <w:b w:val="0"/>
        </w:rPr>
        <w:t>[383]</w:t>
      </w:r>
      <w:r w:rsidRPr="007D2212">
        <w:t>4.3</w:t>
      </w:r>
      <w:r w:rsidRPr="007D2212">
        <w:tab/>
        <w:t xml:space="preserve">Molecular identification of </w:t>
      </w:r>
      <w:r w:rsidRPr="007D2212">
        <w:rPr>
          <w:i/>
        </w:rPr>
        <w:t>Bactrocera carambolae</w:t>
      </w:r>
    </w:p>
    <w:p w14:paraId="3A927279" w14:textId="474DDDED" w:rsidR="00612969" w:rsidRPr="007D2212" w:rsidRDefault="00E97743">
      <w:pPr>
        <w:pStyle w:val="IPPNormal"/>
      </w:pPr>
      <w:r w:rsidRPr="007D2212">
        <w:rPr>
          <w:rStyle w:val="PleaseReviewParagraphId"/>
        </w:rPr>
        <w:t>[384]</w:t>
      </w:r>
      <w:r w:rsidRPr="007D2212">
        <w:t xml:space="preserve">Molecular identification of the six target species has been confounded by their very close genetic relationships and uncertain taxonomy (Boykin </w:t>
      </w:r>
      <w:r w:rsidRPr="007D2212">
        <w:rPr>
          <w:i/>
        </w:rPr>
        <w:t>et</w:t>
      </w:r>
      <w:r w:rsidR="00C675DF">
        <w:rPr>
          <w:i/>
        </w:rPr>
        <w:t> </w:t>
      </w:r>
      <w:r w:rsidRPr="007D2212">
        <w:rPr>
          <w:i/>
        </w:rPr>
        <w:t>al</w:t>
      </w:r>
      <w:r w:rsidRPr="007D2212">
        <w:t xml:space="preserve">., 2014; Hendrichs </w:t>
      </w:r>
      <w:r w:rsidRPr="007D2212">
        <w:rPr>
          <w:i/>
        </w:rPr>
        <w:t>et</w:t>
      </w:r>
      <w:r w:rsidRPr="007D2212">
        <w:rPr>
          <w:rFonts w:ascii="Arial" w:hAnsi="Arial" w:cs="Arial"/>
          <w:i/>
          <w:color w:val="000000"/>
          <w:sz w:val="18"/>
          <w:szCs w:val="18"/>
        </w:rPr>
        <w:t> </w:t>
      </w:r>
      <w:r w:rsidRPr="007D2212">
        <w:rPr>
          <w:i/>
        </w:rPr>
        <w:t>al</w:t>
      </w:r>
      <w:r w:rsidRPr="007D2212">
        <w:t xml:space="preserve">., 2015). Molecular tests alone are not recommended for identification of the six species. However, molecular methods can provide useful information to support morphological identifications when new records are reported from the morphological diagnosis. When identifying </w:t>
      </w:r>
      <w:r w:rsidRPr="007D2212">
        <w:rPr>
          <w:i/>
        </w:rPr>
        <w:t>B.</w:t>
      </w:r>
      <w:r w:rsidRPr="007D2212">
        <w:rPr>
          <w:i/>
          <w:szCs w:val="22"/>
        </w:rPr>
        <w:t> </w:t>
      </w:r>
      <w:r w:rsidRPr="007D2212">
        <w:rPr>
          <w:i/>
        </w:rPr>
        <w:t>carambolae</w:t>
      </w:r>
      <w:r w:rsidRPr="007D2212">
        <w:t xml:space="preserve"> and </w:t>
      </w:r>
      <w:r w:rsidRPr="007D2212">
        <w:rPr>
          <w:i/>
        </w:rPr>
        <w:t>B.</w:t>
      </w:r>
      <w:r w:rsidRPr="007D2212">
        <w:rPr>
          <w:i/>
          <w:szCs w:val="22"/>
        </w:rPr>
        <w:t> </w:t>
      </w:r>
      <w:r w:rsidRPr="007D2212">
        <w:rPr>
          <w:i/>
        </w:rPr>
        <w:t>dorsalis</w:t>
      </w:r>
      <w:r w:rsidRPr="007D2212">
        <w:rPr>
          <w:rFonts w:eastAsiaTheme="minorEastAsia"/>
          <w:i/>
          <w:lang w:eastAsia="ja-JP"/>
        </w:rPr>
        <w:t xml:space="preserve"> s.l.</w:t>
      </w:r>
      <w:r w:rsidRPr="007D2212">
        <w:rPr>
          <w:rFonts w:eastAsiaTheme="minorEastAsia"/>
          <w:lang w:eastAsia="ja-JP"/>
        </w:rPr>
        <w:t xml:space="preserve"> specimens using this protocol, a molecular test is necessary for accurate identification whenever adult morphology alone cannot distinguish between the two species.</w:t>
      </w:r>
    </w:p>
    <w:p w14:paraId="1F3E6965" w14:textId="6B409E94" w:rsidR="00612969" w:rsidRPr="007D2212" w:rsidRDefault="00E97743">
      <w:pPr>
        <w:pStyle w:val="IPPNormal"/>
      </w:pPr>
      <w:r w:rsidRPr="007D2212">
        <w:rPr>
          <w:rStyle w:val="PleaseReviewParagraphId"/>
        </w:rPr>
        <w:t>[385]</w:t>
      </w:r>
      <w:r w:rsidRPr="007D2212">
        <w:t xml:space="preserve">DNA sequencing of either the internal transcribed spacer 1 (ITS1) or 2 (ITS2) nuclear DNA regions has been proposed as a reliable </w:t>
      </w:r>
      <w:r w:rsidR="00840880">
        <w:t>way</w:t>
      </w:r>
      <w:r w:rsidRPr="007D2212">
        <w:t xml:space="preserve"> to distinguish between the species </w:t>
      </w:r>
      <w:r w:rsidRPr="007D2212">
        <w:rPr>
          <w:i/>
        </w:rPr>
        <w:t>B.</w:t>
      </w:r>
      <w:r w:rsidRPr="007D2212">
        <w:rPr>
          <w:i/>
          <w:szCs w:val="22"/>
        </w:rPr>
        <w:t> </w:t>
      </w:r>
      <w:r w:rsidRPr="007D2212">
        <w:rPr>
          <w:i/>
        </w:rPr>
        <w:t>carambolae</w:t>
      </w:r>
      <w:r w:rsidRPr="007D2212">
        <w:t xml:space="preserve"> and </w:t>
      </w:r>
      <w:r w:rsidRPr="007D2212">
        <w:rPr>
          <w:i/>
        </w:rPr>
        <w:t>B.</w:t>
      </w:r>
      <w:r w:rsidRPr="007D2212">
        <w:rPr>
          <w:i/>
          <w:szCs w:val="22"/>
        </w:rPr>
        <w:t> </w:t>
      </w:r>
      <w:r w:rsidRPr="007D2212">
        <w:rPr>
          <w:i/>
        </w:rPr>
        <w:t>dorsalis</w:t>
      </w:r>
      <w:r w:rsidRPr="007D2212">
        <w:rPr>
          <w:rFonts w:eastAsiaTheme="minorEastAsia"/>
          <w:i/>
          <w:lang w:eastAsia="ja-JP"/>
        </w:rPr>
        <w:t xml:space="preserve"> s.l.</w:t>
      </w:r>
      <w:r w:rsidRPr="007D2212">
        <w:t xml:space="preserve"> (Boykin </w:t>
      </w:r>
      <w:r w:rsidRPr="007D2212">
        <w:rPr>
          <w:i/>
        </w:rPr>
        <w:t>et</w:t>
      </w:r>
      <w:r w:rsidRPr="007D2212">
        <w:rPr>
          <w:rFonts w:ascii="Arial" w:hAnsi="Arial" w:cs="Arial"/>
          <w:i/>
          <w:color w:val="000000"/>
          <w:sz w:val="18"/>
          <w:szCs w:val="18"/>
        </w:rPr>
        <w:t> </w:t>
      </w:r>
      <w:r w:rsidRPr="007D2212">
        <w:rPr>
          <w:i/>
        </w:rPr>
        <w:t>al</w:t>
      </w:r>
      <w:r w:rsidRPr="007D2212">
        <w:t xml:space="preserve">., 2014; Schutze </w:t>
      </w:r>
      <w:r w:rsidRPr="007D2212">
        <w:rPr>
          <w:i/>
        </w:rPr>
        <w:t>et</w:t>
      </w:r>
      <w:r w:rsidRPr="007D2212">
        <w:rPr>
          <w:rFonts w:ascii="Arial" w:hAnsi="Arial" w:cs="Arial"/>
          <w:i/>
          <w:color w:val="000000"/>
          <w:sz w:val="18"/>
          <w:szCs w:val="18"/>
        </w:rPr>
        <w:t> </w:t>
      </w:r>
      <w:r w:rsidRPr="007D2212">
        <w:rPr>
          <w:i/>
        </w:rPr>
        <w:t>al</w:t>
      </w:r>
      <w:r w:rsidRPr="007D2212">
        <w:t>., 201</w:t>
      </w:r>
      <w:r w:rsidRPr="007D2212">
        <w:rPr>
          <w:rFonts w:eastAsiaTheme="minorEastAsia"/>
          <w:lang w:eastAsia="ja-JP"/>
        </w:rPr>
        <w:t>5a</w:t>
      </w:r>
      <w:r w:rsidRPr="007D2212">
        <w:t xml:space="preserve">). The ITS1 </w:t>
      </w:r>
      <w:r w:rsidR="00840880">
        <w:t>method</w:t>
      </w:r>
      <w:r w:rsidRPr="007D2212">
        <w:t xml:space="preserve"> as described by Boykin </w:t>
      </w:r>
      <w:r w:rsidRPr="007D2212">
        <w:rPr>
          <w:i/>
        </w:rPr>
        <w:t>et</w:t>
      </w:r>
      <w:r w:rsidR="00C675DF">
        <w:rPr>
          <w:i/>
        </w:rPr>
        <w:t> </w:t>
      </w:r>
      <w:r w:rsidRPr="007D2212">
        <w:rPr>
          <w:i/>
        </w:rPr>
        <w:t>al</w:t>
      </w:r>
      <w:r w:rsidRPr="007D2212">
        <w:t xml:space="preserve">. (2014) for distinguishing between the two species is included in the current protocol. This </w:t>
      </w:r>
      <w:r w:rsidR="00840880">
        <w:t>method</w:t>
      </w:r>
      <w:r w:rsidRPr="007D2212">
        <w:t xml:space="preserve"> is designed to diagnose a fly as </w:t>
      </w:r>
      <w:r w:rsidRPr="007D2212">
        <w:rPr>
          <w:i/>
        </w:rPr>
        <w:t>B.</w:t>
      </w:r>
      <w:r w:rsidRPr="007D2212">
        <w:rPr>
          <w:i/>
          <w:szCs w:val="22"/>
        </w:rPr>
        <w:t> </w:t>
      </w:r>
      <w:r w:rsidRPr="007D2212">
        <w:rPr>
          <w:i/>
        </w:rPr>
        <w:t>carambolae</w:t>
      </w:r>
      <w:r w:rsidRPr="007D2212">
        <w:t xml:space="preserve"> based on the presence of a unique DNA insertion</w:t>
      </w:r>
      <w:r w:rsidR="007762A4" w:rsidRPr="007D2212">
        <w:t xml:space="preserve"> that is not present in </w:t>
      </w:r>
      <w:r w:rsidR="007762A4" w:rsidRPr="007D2212">
        <w:rPr>
          <w:i/>
        </w:rPr>
        <w:t>B.</w:t>
      </w:r>
      <w:r w:rsidR="00E91480">
        <w:rPr>
          <w:i/>
        </w:rPr>
        <w:t> </w:t>
      </w:r>
      <w:r w:rsidR="007762A4" w:rsidRPr="007D2212">
        <w:rPr>
          <w:i/>
        </w:rPr>
        <w:t>dorsalis</w:t>
      </w:r>
      <w:r w:rsidR="007762A4" w:rsidRPr="007D2212">
        <w:rPr>
          <w:rFonts w:eastAsiaTheme="minorEastAsia"/>
          <w:i/>
          <w:lang w:eastAsia="ja-JP"/>
        </w:rPr>
        <w:t xml:space="preserve"> s.l.</w:t>
      </w:r>
      <w:r w:rsidRPr="007D2212">
        <w:t xml:space="preserve"> </w:t>
      </w:r>
      <w:r w:rsidR="007762A4" w:rsidRPr="007D2212">
        <w:t xml:space="preserve">The ITS1 </w:t>
      </w:r>
      <w:r w:rsidR="00840880">
        <w:t>method</w:t>
      </w:r>
      <w:r w:rsidR="007762A4" w:rsidRPr="007D2212">
        <w:t xml:space="preserve"> has not been shown to distinguish </w:t>
      </w:r>
      <w:r w:rsidR="007762A4" w:rsidRPr="00A4522D">
        <w:rPr>
          <w:i/>
        </w:rPr>
        <w:t>B.</w:t>
      </w:r>
      <w:r w:rsidR="00E91480">
        <w:rPr>
          <w:i/>
        </w:rPr>
        <w:t> </w:t>
      </w:r>
      <w:r w:rsidR="007762A4" w:rsidRPr="00A4522D">
        <w:rPr>
          <w:i/>
        </w:rPr>
        <w:t>carambolae</w:t>
      </w:r>
      <w:r w:rsidR="007762A4" w:rsidRPr="007D2212">
        <w:t xml:space="preserve"> from all other </w:t>
      </w:r>
      <w:r w:rsidR="007762A4" w:rsidRPr="00A4522D">
        <w:rPr>
          <w:i/>
        </w:rPr>
        <w:t>Bactro</w:t>
      </w:r>
      <w:r w:rsidR="00E91480">
        <w:rPr>
          <w:i/>
        </w:rPr>
        <w:t>c</w:t>
      </w:r>
      <w:r w:rsidR="007762A4" w:rsidRPr="00A4522D">
        <w:rPr>
          <w:i/>
        </w:rPr>
        <w:t>era dorsalis</w:t>
      </w:r>
      <w:r w:rsidR="007762A4" w:rsidRPr="007D2212">
        <w:t xml:space="preserve"> complex species. </w:t>
      </w:r>
      <w:r w:rsidRPr="007D2212">
        <w:t xml:space="preserve">Specificity of the </w:t>
      </w:r>
      <w:r w:rsidR="00840880">
        <w:t>method</w:t>
      </w:r>
      <w:r w:rsidRPr="007D2212">
        <w:t xml:space="preserve"> for </w:t>
      </w:r>
      <w:r w:rsidRPr="007D2212">
        <w:rPr>
          <w:i/>
        </w:rPr>
        <w:t>B.</w:t>
      </w:r>
      <w:r w:rsidRPr="007D2212">
        <w:rPr>
          <w:i/>
          <w:szCs w:val="22"/>
        </w:rPr>
        <w:t> </w:t>
      </w:r>
      <w:r w:rsidRPr="007D2212">
        <w:rPr>
          <w:i/>
        </w:rPr>
        <w:t>carambolae</w:t>
      </w:r>
      <w:r w:rsidRPr="007D2212">
        <w:t xml:space="preserve"> has been examined using </w:t>
      </w:r>
      <w:r w:rsidR="007762A4" w:rsidRPr="007D2212">
        <w:t xml:space="preserve">only </w:t>
      </w:r>
      <w:r w:rsidRPr="007D2212">
        <w:t xml:space="preserve">four species in the </w:t>
      </w:r>
      <w:r w:rsidRPr="007D2212">
        <w:rPr>
          <w:i/>
        </w:rPr>
        <w:t>Bactrocera dorsalis</w:t>
      </w:r>
      <w:r w:rsidRPr="007D2212">
        <w:t xml:space="preserve"> complex: </w:t>
      </w:r>
      <w:r w:rsidRPr="007D2212">
        <w:rPr>
          <w:i/>
        </w:rPr>
        <w:t>B.</w:t>
      </w:r>
      <w:r w:rsidRPr="007D2212">
        <w:rPr>
          <w:i/>
          <w:szCs w:val="22"/>
        </w:rPr>
        <w:t> </w:t>
      </w:r>
      <w:r w:rsidRPr="007D2212">
        <w:rPr>
          <w:i/>
        </w:rPr>
        <w:t>dorsalis</w:t>
      </w:r>
      <w:r w:rsidRPr="007D2212">
        <w:t xml:space="preserve"> </w:t>
      </w:r>
      <w:r w:rsidRPr="007D2212">
        <w:rPr>
          <w:i/>
        </w:rPr>
        <w:t>s.l.</w:t>
      </w:r>
      <w:r w:rsidRPr="007D2212">
        <w:t xml:space="preserve">, </w:t>
      </w:r>
      <w:r w:rsidRPr="007D2212">
        <w:rPr>
          <w:i/>
        </w:rPr>
        <w:t>B.</w:t>
      </w:r>
      <w:r w:rsidRPr="007D2212">
        <w:rPr>
          <w:i/>
          <w:szCs w:val="22"/>
        </w:rPr>
        <w:t> </w:t>
      </w:r>
      <w:r w:rsidRPr="007D2212">
        <w:rPr>
          <w:i/>
        </w:rPr>
        <w:t>occipitali</w:t>
      </w:r>
      <w:r w:rsidRPr="007D2212">
        <w:t xml:space="preserve">s, </w:t>
      </w:r>
      <w:r w:rsidRPr="007D2212">
        <w:rPr>
          <w:i/>
        </w:rPr>
        <w:t>B</w:t>
      </w:r>
      <w:r w:rsidRPr="007D2212">
        <w:t>.</w:t>
      </w:r>
      <w:r w:rsidRPr="007D2212">
        <w:rPr>
          <w:i/>
          <w:szCs w:val="22"/>
        </w:rPr>
        <w:t> </w:t>
      </w:r>
      <w:r w:rsidRPr="007D2212">
        <w:rPr>
          <w:i/>
        </w:rPr>
        <w:t>opiliae</w:t>
      </w:r>
      <w:r w:rsidRPr="007D2212">
        <w:t xml:space="preserve"> and </w:t>
      </w:r>
      <w:r w:rsidRPr="007D2212">
        <w:rPr>
          <w:i/>
        </w:rPr>
        <w:t>B</w:t>
      </w:r>
      <w:r w:rsidRPr="007D2212">
        <w:t>.</w:t>
      </w:r>
      <w:r w:rsidRPr="007D2212">
        <w:rPr>
          <w:i/>
          <w:szCs w:val="22"/>
        </w:rPr>
        <w:t> </w:t>
      </w:r>
      <w:r w:rsidRPr="007D2212">
        <w:rPr>
          <w:i/>
        </w:rPr>
        <w:t>cacuminata.</w:t>
      </w:r>
      <w:r w:rsidR="007762A4" w:rsidRPr="007D2212">
        <w:t xml:space="preserve"> </w:t>
      </w:r>
    </w:p>
    <w:p w14:paraId="385E0E93" w14:textId="7882CB72" w:rsidR="00612969" w:rsidRPr="007D2212" w:rsidRDefault="00E97743">
      <w:pPr>
        <w:pStyle w:val="IPPNormal"/>
      </w:pPr>
      <w:r w:rsidRPr="007D2212">
        <w:rPr>
          <w:rStyle w:val="PleaseReviewParagraphId"/>
        </w:rPr>
        <w:lastRenderedPageBreak/>
        <w:t>[386]</w:t>
      </w:r>
      <w:r w:rsidRPr="007D2212">
        <w:t>In this diagnostic protocol, methods (including reference</w:t>
      </w:r>
      <w:r w:rsidR="001209C1">
        <w:t>s</w:t>
      </w:r>
      <w:r w:rsidRPr="007D2212">
        <w:t xml:space="preserve"> to brand names) are described as published, as these define the original level of sensitivity, specificity and reproducibility achieved. Laboratory procedures presented in the protocols may be adjusted to the standards of individual laboratories, provided that they are adequately validated.</w:t>
      </w:r>
    </w:p>
    <w:p w14:paraId="0B61F0CD" w14:textId="77777777" w:rsidR="00612969" w:rsidRPr="007D2212" w:rsidRDefault="00E97743" w:rsidP="00A4522D">
      <w:pPr>
        <w:pStyle w:val="IPPHeading2"/>
      </w:pPr>
      <w:r w:rsidRPr="007D2212">
        <w:rPr>
          <w:rStyle w:val="PleaseReviewParagraphId"/>
          <w:b w:val="0"/>
          <w:i/>
        </w:rPr>
        <w:t>[387]</w:t>
      </w:r>
      <w:r w:rsidRPr="007D2212">
        <w:t>4.3.1</w:t>
      </w:r>
      <w:r w:rsidRPr="007D2212">
        <w:tab/>
        <w:t>DNA extraction for molecular tests</w:t>
      </w:r>
    </w:p>
    <w:p w14:paraId="475FA251" w14:textId="02065424" w:rsidR="00612969" w:rsidRPr="007D2212" w:rsidRDefault="00E97743">
      <w:pPr>
        <w:pStyle w:val="IPPNormal"/>
      </w:pPr>
      <w:r w:rsidRPr="007D2212">
        <w:rPr>
          <w:rStyle w:val="PleaseReviewParagraphId"/>
        </w:rPr>
        <w:t>[388]</w:t>
      </w:r>
      <w:r w:rsidRPr="007D2212">
        <w:t xml:space="preserve">Boykin </w:t>
      </w:r>
      <w:r w:rsidRPr="007D2212">
        <w:rPr>
          <w:i/>
        </w:rPr>
        <w:t>et</w:t>
      </w:r>
      <w:r w:rsidR="00C675DF">
        <w:rPr>
          <w:i/>
        </w:rPr>
        <w:t> </w:t>
      </w:r>
      <w:r w:rsidRPr="007D2212">
        <w:rPr>
          <w:i/>
        </w:rPr>
        <w:t>al.</w:t>
      </w:r>
      <w:r w:rsidRPr="007D2212">
        <w:t xml:space="preserve"> (2014) and Ball and Armstrong (2008) provide protocols for DNA extraction using commercial kits that are useful because small</w:t>
      </w:r>
      <w:r w:rsidR="001209C1">
        <w:t xml:space="preserve"> amounts of</w:t>
      </w:r>
      <w:r w:rsidRPr="007D2212">
        <w:t xml:space="preserve"> starting material such as one fruit fly leg can give enough DNA yield and quality for PCR. The methods used to preserve fruit flies for morphological and molecular examination are not the same. Ethanol is a common preservative for fruit fly DNA. Although fruit fly specimens can be preserved in ≥95% ethanol at −20 °C or colder for long-term storage, ethanol can alter the colouring of adult specimens, which can hinder morphological identification. All identifications performed using this protocol require morphological examination. In cases where molecular methods are to be used, it is therefore recommended that a leg be removed and stored in ethanol for DNA extraction and that the remaining specimen be prepared for morphology work. Further examples of methods are provided by Plant Health Australia (2016).</w:t>
      </w:r>
    </w:p>
    <w:p w14:paraId="3AE2DFF5" w14:textId="1AE799A1" w:rsidR="00612969" w:rsidRPr="007D2212" w:rsidRDefault="00E97743" w:rsidP="00A4522D">
      <w:pPr>
        <w:pStyle w:val="IPPHeading2"/>
      </w:pPr>
      <w:r w:rsidRPr="007D2212">
        <w:rPr>
          <w:rStyle w:val="PleaseReviewParagraphId"/>
          <w:b w:val="0"/>
          <w:i/>
        </w:rPr>
        <w:t>[389]</w:t>
      </w:r>
      <w:r w:rsidRPr="007D2212">
        <w:t>4.3.2</w:t>
      </w:r>
      <w:r w:rsidRPr="007D2212">
        <w:tab/>
        <w:t xml:space="preserve">ITS1 PCR and DNA sequencing </w:t>
      </w:r>
      <w:r w:rsidR="00805546">
        <w:t>to</w:t>
      </w:r>
      <w:r w:rsidRPr="007D2212">
        <w:t xml:space="preserve"> distinguish </w:t>
      </w:r>
      <w:r w:rsidRPr="007D2212">
        <w:rPr>
          <w:i/>
        </w:rPr>
        <w:t>B.</w:t>
      </w:r>
      <w:r w:rsidR="00C675DF">
        <w:rPr>
          <w:i/>
        </w:rPr>
        <w:t> </w:t>
      </w:r>
      <w:r w:rsidRPr="007D2212">
        <w:rPr>
          <w:i/>
        </w:rPr>
        <w:t>carambolae</w:t>
      </w:r>
      <w:r w:rsidRPr="007D2212">
        <w:t xml:space="preserve"> from </w:t>
      </w:r>
      <w:r w:rsidRPr="007D2212">
        <w:rPr>
          <w:i/>
        </w:rPr>
        <w:t>B.</w:t>
      </w:r>
      <w:r w:rsidR="00C675DF">
        <w:rPr>
          <w:i/>
        </w:rPr>
        <w:t> </w:t>
      </w:r>
      <w:r w:rsidRPr="007D2212">
        <w:rPr>
          <w:i/>
        </w:rPr>
        <w:t>dorsalis s.l.</w:t>
      </w:r>
      <w:r w:rsidRPr="007D2212">
        <w:t xml:space="preserve"> </w:t>
      </w:r>
    </w:p>
    <w:p w14:paraId="2CB68E60" w14:textId="77777777" w:rsidR="00612969" w:rsidRPr="007D2212" w:rsidRDefault="00E97743">
      <w:pPr>
        <w:pStyle w:val="IPPNormal"/>
      </w:pPr>
      <w:r w:rsidRPr="007D2212">
        <w:rPr>
          <w:rStyle w:val="PleaseReviewParagraphId"/>
        </w:rPr>
        <w:t>[390]</w:t>
      </w:r>
      <w:r w:rsidRPr="007D2212">
        <w:t xml:space="preserve">The Boykin </w:t>
      </w:r>
      <w:r w:rsidRPr="007D2212">
        <w:rPr>
          <w:i/>
        </w:rPr>
        <w:t>et</w:t>
      </w:r>
      <w:r w:rsidRPr="007D2212">
        <w:rPr>
          <w:rFonts w:ascii="Arial" w:hAnsi="Arial" w:cs="Arial"/>
          <w:i/>
          <w:color w:val="000000"/>
          <w:sz w:val="18"/>
          <w:szCs w:val="18"/>
        </w:rPr>
        <w:t> </w:t>
      </w:r>
      <w:r w:rsidRPr="007D2212">
        <w:rPr>
          <w:i/>
        </w:rPr>
        <w:t>al</w:t>
      </w:r>
      <w:r w:rsidRPr="007D2212">
        <w:t xml:space="preserve">. (2014) study compared a large collection of ITS1 sequences from </w:t>
      </w:r>
      <w:r w:rsidRPr="007D2212">
        <w:rPr>
          <w:i/>
        </w:rPr>
        <w:t>B.</w:t>
      </w:r>
      <w:r w:rsidRPr="007D2212">
        <w:rPr>
          <w:i/>
          <w:szCs w:val="22"/>
        </w:rPr>
        <w:t> </w:t>
      </w:r>
      <w:r w:rsidRPr="007D2212">
        <w:rPr>
          <w:i/>
        </w:rPr>
        <w:t>dorsalis</w:t>
      </w:r>
      <w:r w:rsidRPr="007D2212">
        <w:t xml:space="preserve"> </w:t>
      </w:r>
      <w:r w:rsidRPr="007D2212">
        <w:rPr>
          <w:rFonts w:eastAsiaTheme="minorEastAsia"/>
          <w:i/>
          <w:lang w:eastAsia="ja-JP"/>
        </w:rPr>
        <w:t>s.l.</w:t>
      </w:r>
      <w:r w:rsidRPr="007D2212">
        <w:rPr>
          <w:rFonts w:eastAsiaTheme="minorEastAsia"/>
          <w:lang w:eastAsia="ja-JP"/>
        </w:rPr>
        <w:t xml:space="preserve"> </w:t>
      </w:r>
      <w:r w:rsidRPr="007D2212">
        <w:t xml:space="preserve">and </w:t>
      </w:r>
      <w:r w:rsidRPr="007D2212">
        <w:rPr>
          <w:i/>
        </w:rPr>
        <w:t>B.</w:t>
      </w:r>
      <w:r w:rsidRPr="007D2212">
        <w:rPr>
          <w:i/>
          <w:szCs w:val="22"/>
        </w:rPr>
        <w:t> </w:t>
      </w:r>
      <w:r w:rsidRPr="007D2212">
        <w:rPr>
          <w:i/>
        </w:rPr>
        <w:t>carambolae</w:t>
      </w:r>
      <w:r w:rsidRPr="007D2212">
        <w:t xml:space="preserve"> specimens. Although many primer sets for analysis of ITS1 have been reported in the scientific literature (e.g. Plant Health Australia, 2016), the ITS7/ITS6 primer set reported by Boykin </w:t>
      </w:r>
      <w:r w:rsidRPr="007D2212">
        <w:rPr>
          <w:i/>
        </w:rPr>
        <w:t>et</w:t>
      </w:r>
      <w:r w:rsidRPr="007D2212">
        <w:rPr>
          <w:rFonts w:ascii="Arial" w:hAnsi="Arial" w:cs="Arial"/>
          <w:i/>
          <w:color w:val="000000"/>
          <w:sz w:val="18"/>
          <w:szCs w:val="18"/>
        </w:rPr>
        <w:t> </w:t>
      </w:r>
      <w:r w:rsidRPr="007D2212">
        <w:rPr>
          <w:i/>
        </w:rPr>
        <w:t>al.</w:t>
      </w:r>
      <w:r w:rsidRPr="007D2212">
        <w:t xml:space="preserve"> (2014) is reported here to simplify comparison with reference sequences from that study and stored in GenBank. Other primer sets that target the same region of ITS1 could also function adequately. None of the published primer sets for this target gene have been tested for reproducibility or sensitivity.</w:t>
      </w:r>
    </w:p>
    <w:p w14:paraId="7280C094" w14:textId="77777777" w:rsidR="00612969" w:rsidRPr="007D2212" w:rsidRDefault="00E97743">
      <w:pPr>
        <w:pStyle w:val="IPPNormalCloseSpace"/>
      </w:pPr>
      <w:r w:rsidRPr="007D2212">
        <w:rPr>
          <w:rStyle w:val="PleaseReviewParagraphId"/>
        </w:rPr>
        <w:t>[391]</w:t>
      </w:r>
      <w:r w:rsidRPr="007D2212">
        <w:t>The ITS7 (forward) and ITS6 (reverse) primers are:</w:t>
      </w:r>
    </w:p>
    <w:p w14:paraId="5068E773" w14:textId="77777777" w:rsidR="00612969" w:rsidRPr="007D2212" w:rsidRDefault="00E97743">
      <w:pPr>
        <w:pStyle w:val="IPPIndentClose"/>
      </w:pPr>
      <w:r w:rsidRPr="007D2212">
        <w:rPr>
          <w:rStyle w:val="PleaseReviewParagraphId"/>
        </w:rPr>
        <w:t>[392]</w:t>
      </w:r>
      <w:r w:rsidRPr="007D2212">
        <w:t xml:space="preserve">ITS7 (5′- GAA TTT CGC ATA CAT TGT AT-3′) (Boykin </w:t>
      </w:r>
      <w:r w:rsidRPr="007D2212">
        <w:rPr>
          <w:i/>
        </w:rPr>
        <w:t>et</w:t>
      </w:r>
      <w:r w:rsidRPr="007D2212">
        <w:rPr>
          <w:rFonts w:ascii="Arial" w:hAnsi="Arial" w:cs="Arial"/>
          <w:i/>
          <w:color w:val="000000"/>
          <w:sz w:val="18"/>
          <w:szCs w:val="18"/>
        </w:rPr>
        <w:t> </w:t>
      </w:r>
      <w:r w:rsidRPr="007D2212">
        <w:rPr>
          <w:i/>
        </w:rPr>
        <w:t>al.</w:t>
      </w:r>
      <w:r w:rsidRPr="007D2212">
        <w:t>, 2014)</w:t>
      </w:r>
    </w:p>
    <w:p w14:paraId="63840004" w14:textId="77777777" w:rsidR="00612969" w:rsidRPr="007D2212" w:rsidRDefault="00E97743">
      <w:pPr>
        <w:pStyle w:val="IPPIndent"/>
      </w:pPr>
      <w:r w:rsidRPr="007D2212">
        <w:rPr>
          <w:rStyle w:val="PleaseReviewParagraphId"/>
        </w:rPr>
        <w:t>[393]</w:t>
      </w:r>
      <w:r w:rsidRPr="007D2212">
        <w:t>ITS6 (5′- AGC CGA GTG ATC CAC CGC T-3′) (Armstrong and Cameron, 2000)</w:t>
      </w:r>
    </w:p>
    <w:p w14:paraId="5A01801B" w14:textId="31D03BFB" w:rsidR="00612969" w:rsidRPr="007D2212" w:rsidRDefault="00E97743">
      <w:pPr>
        <w:pStyle w:val="IPPNormal"/>
      </w:pPr>
      <w:r w:rsidRPr="007D2212">
        <w:rPr>
          <w:rStyle w:val="PleaseReviewParagraphId"/>
        </w:rPr>
        <w:t>[394]</w:t>
      </w:r>
      <w:r w:rsidRPr="007D2212">
        <w:t xml:space="preserve">PCR can be carried out in 30 µl reactions according to Boykin </w:t>
      </w:r>
      <w:r w:rsidRPr="007D2212">
        <w:rPr>
          <w:i/>
        </w:rPr>
        <w:t>et</w:t>
      </w:r>
      <w:r w:rsidR="00805546">
        <w:rPr>
          <w:i/>
        </w:rPr>
        <w:t> </w:t>
      </w:r>
      <w:r w:rsidRPr="007D2212">
        <w:rPr>
          <w:i/>
        </w:rPr>
        <w:t>al</w:t>
      </w:r>
      <w:r w:rsidRPr="007D2212">
        <w:t>. (2014), using the master mix and cycling parameters given in Table</w:t>
      </w:r>
      <w:r w:rsidR="009B246F">
        <w:t> </w:t>
      </w:r>
      <w:r w:rsidRPr="007D2212">
        <w:t>4.</w:t>
      </w:r>
      <w:r w:rsidRPr="007D2212">
        <w:br w:type="page"/>
      </w:r>
    </w:p>
    <w:p w14:paraId="069C5FCF" w14:textId="29123A12" w:rsidR="00612969" w:rsidRPr="007D2212" w:rsidRDefault="00E97743">
      <w:pPr>
        <w:pStyle w:val="IPPNormal"/>
        <w:rPr>
          <w:iCs/>
          <w:lang w:eastAsia="en-AU"/>
        </w:rPr>
      </w:pPr>
      <w:r w:rsidRPr="007D2212">
        <w:rPr>
          <w:rStyle w:val="PleaseReviewParagraphId"/>
        </w:rPr>
        <w:lastRenderedPageBreak/>
        <w:t>[395]</w:t>
      </w:r>
      <w:r w:rsidRPr="007D2212">
        <w:rPr>
          <w:b/>
        </w:rPr>
        <w:t>Table 4.</w:t>
      </w:r>
      <w:r w:rsidRPr="007D2212">
        <w:t xml:space="preserve"> Master mix composition</w:t>
      </w:r>
      <w:r w:rsidR="00C458AC">
        <w:t>,</w:t>
      </w:r>
      <w:r w:rsidRPr="007D2212">
        <w:t xml:space="preserve"> cycling </w:t>
      </w:r>
      <w:r w:rsidR="00824620">
        <w:t xml:space="preserve">parameters </w:t>
      </w:r>
      <w:r w:rsidR="00C458AC">
        <w:t xml:space="preserve">and amplicons </w:t>
      </w:r>
      <w:r w:rsidR="00805546" w:rsidRPr="007D2212">
        <w:t xml:space="preserve">for PCR </w:t>
      </w:r>
      <w:r w:rsidR="00824620">
        <w:t xml:space="preserve">to distinguish </w:t>
      </w:r>
      <w:r w:rsidR="00824620">
        <w:rPr>
          <w:i/>
        </w:rPr>
        <w:t xml:space="preserve">Bactrocera carambolae </w:t>
      </w:r>
      <w:r w:rsidR="00824620">
        <w:t xml:space="preserve">from </w:t>
      </w:r>
      <w:r w:rsidR="00824620">
        <w:rPr>
          <w:i/>
        </w:rPr>
        <w:t>B. dorsalis s.l.</w:t>
      </w:r>
    </w:p>
    <w:tbl>
      <w:tblPr>
        <w:tblW w:w="0" w:type="auto"/>
        <w:tblLook w:val="04A0" w:firstRow="1" w:lastRow="0" w:firstColumn="1" w:lastColumn="0" w:noHBand="0" w:noVBand="1"/>
      </w:tblPr>
      <w:tblGrid>
        <w:gridCol w:w="3010"/>
        <w:gridCol w:w="3012"/>
      </w:tblGrid>
      <w:tr w:rsidR="00612969" w:rsidRPr="007D2212" w14:paraId="35367807" w14:textId="77777777">
        <w:tc>
          <w:tcPr>
            <w:tcW w:w="3010" w:type="dxa"/>
            <w:tcBorders>
              <w:top w:val="single" w:sz="4" w:space="0" w:color="auto"/>
              <w:bottom w:val="single" w:sz="4" w:space="0" w:color="auto"/>
            </w:tcBorders>
            <w:shd w:val="clear" w:color="auto" w:fill="BFBFBF"/>
          </w:tcPr>
          <w:p w14:paraId="38142D11" w14:textId="77777777" w:rsidR="00612969" w:rsidRPr="007D2212" w:rsidRDefault="00E97743">
            <w:pPr>
              <w:pStyle w:val="IPPArialTable"/>
              <w:rPr>
                <w:lang w:eastAsia="en-AU"/>
              </w:rPr>
            </w:pPr>
            <w:r w:rsidRPr="007D2212">
              <w:rPr>
                <w:rStyle w:val="PleaseReviewParagraphId"/>
              </w:rPr>
              <w:t>[396]</w:t>
            </w:r>
            <w:r w:rsidRPr="00A4522D">
              <w:rPr>
                <w:b/>
                <w:lang w:eastAsia="en-AU"/>
              </w:rPr>
              <w:t>Reagents</w:t>
            </w:r>
          </w:p>
        </w:tc>
        <w:tc>
          <w:tcPr>
            <w:tcW w:w="3012" w:type="dxa"/>
            <w:tcBorders>
              <w:top w:val="single" w:sz="4" w:space="0" w:color="auto"/>
              <w:bottom w:val="single" w:sz="4" w:space="0" w:color="auto"/>
            </w:tcBorders>
            <w:shd w:val="clear" w:color="auto" w:fill="BFBFBF"/>
          </w:tcPr>
          <w:p w14:paraId="7911A6BC" w14:textId="77777777" w:rsidR="00612969" w:rsidRPr="007D2212" w:rsidRDefault="00E97743">
            <w:pPr>
              <w:pStyle w:val="IPPArialTable"/>
              <w:rPr>
                <w:lang w:eastAsia="en-AU"/>
              </w:rPr>
            </w:pPr>
            <w:r w:rsidRPr="007D2212">
              <w:rPr>
                <w:rStyle w:val="PleaseReviewParagraphId"/>
              </w:rPr>
              <w:t>[397]</w:t>
            </w:r>
            <w:r w:rsidRPr="00A4522D">
              <w:rPr>
                <w:b/>
                <w:lang w:eastAsia="en-AU"/>
              </w:rPr>
              <w:t>Final concentration</w:t>
            </w:r>
          </w:p>
        </w:tc>
      </w:tr>
      <w:tr w:rsidR="00612969" w:rsidRPr="007D2212" w14:paraId="57281D30" w14:textId="77777777">
        <w:tc>
          <w:tcPr>
            <w:tcW w:w="3010" w:type="dxa"/>
            <w:tcBorders>
              <w:top w:val="single" w:sz="4" w:space="0" w:color="auto"/>
            </w:tcBorders>
            <w:shd w:val="clear" w:color="auto" w:fill="auto"/>
          </w:tcPr>
          <w:p w14:paraId="05A77698" w14:textId="77777777" w:rsidR="00612969" w:rsidRPr="007D2212" w:rsidRDefault="00E97743">
            <w:pPr>
              <w:pStyle w:val="IPPArialTable"/>
              <w:rPr>
                <w:lang w:eastAsia="en-AU"/>
              </w:rPr>
            </w:pPr>
            <w:r w:rsidRPr="007D2212">
              <w:rPr>
                <w:rStyle w:val="PleaseReviewParagraphId"/>
              </w:rPr>
              <w:t>[398]</w:t>
            </w:r>
            <w:r w:rsidRPr="007D2212">
              <w:rPr>
                <w:lang w:eastAsia="en-AU"/>
              </w:rPr>
              <w:t>PCR grade water</w:t>
            </w:r>
          </w:p>
        </w:tc>
        <w:tc>
          <w:tcPr>
            <w:tcW w:w="3012" w:type="dxa"/>
            <w:tcBorders>
              <w:top w:val="single" w:sz="4" w:space="0" w:color="auto"/>
            </w:tcBorders>
            <w:shd w:val="clear" w:color="auto" w:fill="auto"/>
          </w:tcPr>
          <w:p w14:paraId="047D54BA" w14:textId="77777777" w:rsidR="00612969" w:rsidRPr="007D2212" w:rsidRDefault="00E97743">
            <w:pPr>
              <w:pStyle w:val="IPPArialTable"/>
              <w:rPr>
                <w:lang w:eastAsia="en-AU"/>
              </w:rPr>
            </w:pPr>
            <w:r w:rsidRPr="007D2212">
              <w:rPr>
                <w:rStyle w:val="PleaseReviewParagraphId"/>
              </w:rPr>
              <w:t>[399]</w:t>
            </w:r>
            <w:r w:rsidRPr="007D2212">
              <w:rPr>
                <w:lang w:eastAsia="en-AU"/>
              </w:rPr>
              <w:t>–</w:t>
            </w:r>
            <w:r w:rsidRPr="007D2212">
              <w:rPr>
                <w:vertAlign w:val="superscript"/>
                <w:lang w:eastAsia="en-AU"/>
              </w:rPr>
              <w:t>†</w:t>
            </w:r>
          </w:p>
        </w:tc>
      </w:tr>
      <w:tr w:rsidR="00612969" w:rsidRPr="007D2212" w14:paraId="794CBF75" w14:textId="77777777">
        <w:tc>
          <w:tcPr>
            <w:tcW w:w="3010" w:type="dxa"/>
            <w:shd w:val="clear" w:color="auto" w:fill="auto"/>
          </w:tcPr>
          <w:p w14:paraId="38F4AE6D" w14:textId="77777777" w:rsidR="00612969" w:rsidRPr="007D2212" w:rsidRDefault="00E97743">
            <w:pPr>
              <w:pStyle w:val="IPPArialTable"/>
              <w:rPr>
                <w:lang w:eastAsia="en-AU"/>
              </w:rPr>
            </w:pPr>
            <w:r w:rsidRPr="007D2212">
              <w:rPr>
                <w:rStyle w:val="PleaseReviewParagraphId"/>
              </w:rPr>
              <w:t>[400]</w:t>
            </w:r>
            <w:r w:rsidRPr="007D2212">
              <w:rPr>
                <w:lang w:eastAsia="en-AU"/>
              </w:rPr>
              <w:t>PCR buffer</w:t>
            </w:r>
          </w:p>
        </w:tc>
        <w:tc>
          <w:tcPr>
            <w:tcW w:w="3012" w:type="dxa"/>
            <w:shd w:val="clear" w:color="auto" w:fill="auto"/>
          </w:tcPr>
          <w:p w14:paraId="1DD46C55" w14:textId="77777777" w:rsidR="00612969" w:rsidRPr="007D2212" w:rsidRDefault="00E97743">
            <w:pPr>
              <w:pStyle w:val="IPPArialTable"/>
              <w:rPr>
                <w:lang w:eastAsia="en-AU"/>
              </w:rPr>
            </w:pPr>
            <w:r w:rsidRPr="007D2212">
              <w:rPr>
                <w:rStyle w:val="PleaseReviewParagraphId"/>
              </w:rPr>
              <w:t>[401]</w:t>
            </w:r>
            <w:r w:rsidRPr="007D2212">
              <w:rPr>
                <w:lang w:eastAsia="en-AU"/>
              </w:rPr>
              <w:t xml:space="preserve">1× </w:t>
            </w:r>
          </w:p>
        </w:tc>
      </w:tr>
      <w:tr w:rsidR="00612969" w:rsidRPr="007D2212" w14:paraId="375B74F4" w14:textId="77777777">
        <w:tc>
          <w:tcPr>
            <w:tcW w:w="3010" w:type="dxa"/>
            <w:shd w:val="clear" w:color="auto" w:fill="auto"/>
          </w:tcPr>
          <w:p w14:paraId="1059EFC1" w14:textId="77777777" w:rsidR="00612969" w:rsidRPr="007D2212" w:rsidRDefault="00E97743">
            <w:pPr>
              <w:pStyle w:val="IPPArialTable"/>
              <w:rPr>
                <w:lang w:eastAsia="en-AU"/>
              </w:rPr>
            </w:pPr>
            <w:r w:rsidRPr="007D2212">
              <w:rPr>
                <w:rStyle w:val="PleaseReviewParagraphId"/>
              </w:rPr>
              <w:t>[402]</w:t>
            </w:r>
            <w:r w:rsidRPr="007D2212">
              <w:rPr>
                <w:lang w:eastAsia="en-AU"/>
              </w:rPr>
              <w:t>MgCl</w:t>
            </w:r>
            <w:r w:rsidRPr="007D2212">
              <w:rPr>
                <w:vertAlign w:val="subscript"/>
                <w:lang w:eastAsia="en-AU"/>
              </w:rPr>
              <w:t>2</w:t>
            </w:r>
          </w:p>
        </w:tc>
        <w:tc>
          <w:tcPr>
            <w:tcW w:w="3012" w:type="dxa"/>
            <w:shd w:val="clear" w:color="auto" w:fill="auto"/>
          </w:tcPr>
          <w:p w14:paraId="654F8984" w14:textId="77777777" w:rsidR="00612969" w:rsidRPr="007D2212" w:rsidRDefault="00E97743">
            <w:pPr>
              <w:pStyle w:val="IPPArialTable"/>
              <w:rPr>
                <w:lang w:eastAsia="en-AU"/>
              </w:rPr>
            </w:pPr>
            <w:r w:rsidRPr="007D2212">
              <w:rPr>
                <w:rStyle w:val="PleaseReviewParagraphId"/>
              </w:rPr>
              <w:t>[403]</w:t>
            </w:r>
            <w:r w:rsidRPr="007D2212">
              <w:rPr>
                <w:lang w:eastAsia="en-AU"/>
              </w:rPr>
              <w:t>2.0 mM</w:t>
            </w:r>
          </w:p>
        </w:tc>
      </w:tr>
      <w:tr w:rsidR="00612969" w:rsidRPr="007D2212" w14:paraId="7FED0BE2" w14:textId="77777777">
        <w:trPr>
          <w:trHeight w:val="74"/>
        </w:trPr>
        <w:tc>
          <w:tcPr>
            <w:tcW w:w="3010" w:type="dxa"/>
            <w:shd w:val="clear" w:color="auto" w:fill="auto"/>
          </w:tcPr>
          <w:p w14:paraId="4AA292FA" w14:textId="77777777" w:rsidR="00612969" w:rsidRPr="007D2212" w:rsidRDefault="00E97743">
            <w:pPr>
              <w:pStyle w:val="IPPArialTable"/>
              <w:rPr>
                <w:lang w:eastAsia="en-AU"/>
              </w:rPr>
            </w:pPr>
            <w:r w:rsidRPr="007D2212">
              <w:rPr>
                <w:rStyle w:val="PleaseReviewParagraphId"/>
              </w:rPr>
              <w:t>[404]</w:t>
            </w:r>
            <w:r w:rsidRPr="007D2212">
              <w:rPr>
                <w:lang w:eastAsia="en-AU"/>
              </w:rPr>
              <w:t>dNTPs</w:t>
            </w:r>
          </w:p>
        </w:tc>
        <w:tc>
          <w:tcPr>
            <w:tcW w:w="3012" w:type="dxa"/>
            <w:shd w:val="clear" w:color="auto" w:fill="auto"/>
          </w:tcPr>
          <w:p w14:paraId="59ED4E98" w14:textId="77777777" w:rsidR="00612969" w:rsidRPr="007D2212" w:rsidRDefault="00E97743">
            <w:pPr>
              <w:pStyle w:val="IPPArialTable"/>
              <w:rPr>
                <w:lang w:eastAsia="en-AU"/>
              </w:rPr>
            </w:pPr>
            <w:r w:rsidRPr="007D2212">
              <w:rPr>
                <w:rStyle w:val="PleaseReviewParagraphId"/>
              </w:rPr>
              <w:t>[405]</w:t>
            </w:r>
            <w:r w:rsidRPr="007D2212">
              <w:rPr>
                <w:lang w:eastAsia="en-AU"/>
              </w:rPr>
              <w:t>200 µM of each</w:t>
            </w:r>
          </w:p>
        </w:tc>
      </w:tr>
      <w:tr w:rsidR="00612969" w:rsidRPr="007D2212" w14:paraId="610DDF43" w14:textId="77777777">
        <w:tc>
          <w:tcPr>
            <w:tcW w:w="3010" w:type="dxa"/>
            <w:shd w:val="clear" w:color="auto" w:fill="auto"/>
          </w:tcPr>
          <w:p w14:paraId="43EDE82B" w14:textId="77777777" w:rsidR="00612969" w:rsidRPr="007D2212" w:rsidRDefault="00E97743">
            <w:pPr>
              <w:pStyle w:val="IPPArialTable"/>
              <w:rPr>
                <w:lang w:eastAsia="en-AU"/>
              </w:rPr>
            </w:pPr>
            <w:r w:rsidRPr="007D2212">
              <w:rPr>
                <w:rStyle w:val="PleaseReviewParagraphId"/>
              </w:rPr>
              <w:t>[406]</w:t>
            </w:r>
            <w:r w:rsidRPr="007D2212">
              <w:rPr>
                <w:lang w:eastAsia="en-AU"/>
              </w:rPr>
              <w:t>Primer (forward)</w:t>
            </w:r>
          </w:p>
        </w:tc>
        <w:tc>
          <w:tcPr>
            <w:tcW w:w="3012" w:type="dxa"/>
            <w:shd w:val="clear" w:color="auto" w:fill="auto"/>
          </w:tcPr>
          <w:p w14:paraId="18F09842" w14:textId="77777777" w:rsidR="00612969" w:rsidRPr="007D2212" w:rsidRDefault="00E97743">
            <w:pPr>
              <w:pStyle w:val="IPPArialTable"/>
              <w:rPr>
                <w:lang w:eastAsia="en-AU"/>
              </w:rPr>
            </w:pPr>
            <w:r w:rsidRPr="007D2212">
              <w:rPr>
                <w:rStyle w:val="PleaseReviewParagraphId"/>
              </w:rPr>
              <w:t>[407]</w:t>
            </w:r>
            <w:r w:rsidRPr="007D2212">
              <w:rPr>
                <w:lang w:eastAsia="en-AU"/>
              </w:rPr>
              <w:t>0.2 µM</w:t>
            </w:r>
          </w:p>
        </w:tc>
      </w:tr>
      <w:tr w:rsidR="00612969" w:rsidRPr="007D2212" w14:paraId="2A0703A7" w14:textId="77777777">
        <w:tc>
          <w:tcPr>
            <w:tcW w:w="3010" w:type="dxa"/>
            <w:tcBorders>
              <w:bottom w:val="single" w:sz="4" w:space="0" w:color="auto"/>
            </w:tcBorders>
            <w:shd w:val="clear" w:color="auto" w:fill="auto"/>
          </w:tcPr>
          <w:p w14:paraId="6C3AEB86" w14:textId="77777777" w:rsidR="00612969" w:rsidRPr="007D2212" w:rsidRDefault="00E97743">
            <w:pPr>
              <w:pStyle w:val="IPPArialTable"/>
              <w:rPr>
                <w:lang w:eastAsia="en-AU"/>
              </w:rPr>
            </w:pPr>
            <w:r w:rsidRPr="007D2212">
              <w:rPr>
                <w:rStyle w:val="PleaseReviewParagraphId"/>
              </w:rPr>
              <w:t>[408]</w:t>
            </w:r>
            <w:r w:rsidRPr="007D2212">
              <w:rPr>
                <w:lang w:eastAsia="en-AU"/>
              </w:rPr>
              <w:t>Primer (reverse)</w:t>
            </w:r>
          </w:p>
        </w:tc>
        <w:tc>
          <w:tcPr>
            <w:tcW w:w="3012" w:type="dxa"/>
            <w:tcBorders>
              <w:bottom w:val="single" w:sz="4" w:space="0" w:color="auto"/>
            </w:tcBorders>
            <w:shd w:val="clear" w:color="auto" w:fill="auto"/>
          </w:tcPr>
          <w:p w14:paraId="2B6A59E2" w14:textId="77777777" w:rsidR="00612969" w:rsidRPr="007D2212" w:rsidRDefault="00E97743">
            <w:pPr>
              <w:pStyle w:val="IPPArialTable"/>
              <w:rPr>
                <w:lang w:eastAsia="en-AU"/>
              </w:rPr>
            </w:pPr>
            <w:r w:rsidRPr="007D2212">
              <w:rPr>
                <w:rStyle w:val="PleaseReviewParagraphId"/>
              </w:rPr>
              <w:t>[409]</w:t>
            </w:r>
            <w:r w:rsidRPr="007D2212">
              <w:rPr>
                <w:lang w:eastAsia="en-AU"/>
              </w:rPr>
              <w:t>0.2 µM</w:t>
            </w:r>
          </w:p>
        </w:tc>
      </w:tr>
      <w:tr w:rsidR="00612969" w:rsidRPr="007D2212" w14:paraId="0818EB2B" w14:textId="77777777">
        <w:tc>
          <w:tcPr>
            <w:tcW w:w="3010" w:type="dxa"/>
            <w:tcBorders>
              <w:top w:val="single" w:sz="4" w:space="0" w:color="auto"/>
              <w:bottom w:val="single" w:sz="4" w:space="0" w:color="auto"/>
            </w:tcBorders>
            <w:shd w:val="clear" w:color="auto" w:fill="auto"/>
          </w:tcPr>
          <w:p w14:paraId="6A23DB42" w14:textId="77777777" w:rsidR="00612969" w:rsidRPr="007D2212" w:rsidRDefault="00E97743">
            <w:pPr>
              <w:pStyle w:val="IPPArialTable"/>
              <w:rPr>
                <w:lang w:eastAsia="en-AU"/>
              </w:rPr>
            </w:pPr>
            <w:r w:rsidRPr="007D2212">
              <w:rPr>
                <w:rStyle w:val="PleaseReviewParagraphId"/>
              </w:rPr>
              <w:t>[410]</w:t>
            </w:r>
            <w:r w:rsidRPr="007D2212">
              <w:rPr>
                <w:lang w:eastAsia="en-AU"/>
              </w:rPr>
              <w:t>DNA polymerase</w:t>
            </w:r>
          </w:p>
        </w:tc>
        <w:tc>
          <w:tcPr>
            <w:tcW w:w="3012" w:type="dxa"/>
            <w:tcBorders>
              <w:top w:val="single" w:sz="4" w:space="0" w:color="auto"/>
              <w:bottom w:val="single" w:sz="4" w:space="0" w:color="auto"/>
            </w:tcBorders>
            <w:shd w:val="clear" w:color="auto" w:fill="auto"/>
          </w:tcPr>
          <w:p w14:paraId="7C9F58A7" w14:textId="77777777" w:rsidR="00612969" w:rsidRPr="007D2212" w:rsidRDefault="00E97743">
            <w:pPr>
              <w:pStyle w:val="IPPArialTable"/>
              <w:rPr>
                <w:lang w:eastAsia="en-AU"/>
              </w:rPr>
            </w:pPr>
            <w:r w:rsidRPr="007D2212">
              <w:rPr>
                <w:rStyle w:val="PleaseReviewParagraphId"/>
              </w:rPr>
              <w:t>[411]</w:t>
            </w:r>
            <w:r w:rsidRPr="007D2212">
              <w:rPr>
                <w:lang w:eastAsia="en-AU"/>
              </w:rPr>
              <w:t>0.6 U</w:t>
            </w:r>
          </w:p>
        </w:tc>
      </w:tr>
      <w:tr w:rsidR="00612969" w:rsidRPr="007D2212" w14:paraId="282F08A1" w14:textId="77777777">
        <w:tc>
          <w:tcPr>
            <w:tcW w:w="3010" w:type="dxa"/>
            <w:tcBorders>
              <w:top w:val="single" w:sz="4" w:space="0" w:color="auto"/>
              <w:bottom w:val="single" w:sz="4" w:space="0" w:color="auto"/>
            </w:tcBorders>
            <w:shd w:val="clear" w:color="auto" w:fill="auto"/>
          </w:tcPr>
          <w:p w14:paraId="3F0284B2" w14:textId="77777777" w:rsidR="00612969" w:rsidRPr="007D2212" w:rsidRDefault="00E97743">
            <w:pPr>
              <w:pStyle w:val="IPPArialTable"/>
              <w:rPr>
                <w:lang w:eastAsia="en-AU"/>
              </w:rPr>
            </w:pPr>
            <w:r w:rsidRPr="007D2212">
              <w:rPr>
                <w:rStyle w:val="PleaseReviewParagraphId"/>
              </w:rPr>
              <w:t>[412]</w:t>
            </w:r>
            <w:r w:rsidRPr="007D2212">
              <w:rPr>
                <w:lang w:eastAsia="en-AU"/>
              </w:rPr>
              <w:t>DNA sample</w:t>
            </w:r>
          </w:p>
        </w:tc>
        <w:tc>
          <w:tcPr>
            <w:tcW w:w="3012" w:type="dxa"/>
            <w:tcBorders>
              <w:top w:val="single" w:sz="4" w:space="0" w:color="auto"/>
              <w:bottom w:val="single" w:sz="4" w:space="0" w:color="auto"/>
            </w:tcBorders>
            <w:shd w:val="clear" w:color="auto" w:fill="auto"/>
          </w:tcPr>
          <w:p w14:paraId="5EA983B8" w14:textId="77777777" w:rsidR="00612969" w:rsidRPr="007D2212" w:rsidRDefault="00E97743">
            <w:pPr>
              <w:pStyle w:val="IPPArialTable"/>
              <w:rPr>
                <w:lang w:eastAsia="en-AU"/>
              </w:rPr>
            </w:pPr>
            <w:r w:rsidRPr="007D2212">
              <w:rPr>
                <w:rStyle w:val="PleaseReviewParagraphId"/>
              </w:rPr>
              <w:t>[413]</w:t>
            </w:r>
            <w:r w:rsidRPr="007D2212">
              <w:rPr>
                <w:lang w:eastAsia="en-AU"/>
              </w:rPr>
              <w:t>2 µl</w:t>
            </w:r>
          </w:p>
        </w:tc>
      </w:tr>
      <w:tr w:rsidR="00612969" w:rsidRPr="007D2212" w14:paraId="70E2B366" w14:textId="77777777">
        <w:tc>
          <w:tcPr>
            <w:tcW w:w="3010" w:type="dxa"/>
            <w:tcBorders>
              <w:top w:val="single" w:sz="4" w:space="0" w:color="auto"/>
            </w:tcBorders>
            <w:shd w:val="clear" w:color="auto" w:fill="BFBFBF"/>
          </w:tcPr>
          <w:p w14:paraId="2F6AD9B6" w14:textId="77777777" w:rsidR="00612969" w:rsidRPr="007D2212" w:rsidRDefault="00E97743">
            <w:pPr>
              <w:pStyle w:val="IPPArialTable"/>
              <w:rPr>
                <w:lang w:eastAsia="en-AU"/>
              </w:rPr>
            </w:pPr>
            <w:r w:rsidRPr="007D2212">
              <w:rPr>
                <w:rStyle w:val="PleaseReviewParagraphId"/>
              </w:rPr>
              <w:t>[414]</w:t>
            </w:r>
            <w:r w:rsidRPr="00A4522D">
              <w:rPr>
                <w:b/>
                <w:lang w:eastAsia="en-AU"/>
              </w:rPr>
              <w:t>Cycling parameters</w:t>
            </w:r>
          </w:p>
        </w:tc>
        <w:tc>
          <w:tcPr>
            <w:tcW w:w="3012" w:type="dxa"/>
            <w:tcBorders>
              <w:top w:val="single" w:sz="4" w:space="0" w:color="auto"/>
            </w:tcBorders>
            <w:shd w:val="clear" w:color="auto" w:fill="BFBFBF"/>
          </w:tcPr>
          <w:p w14:paraId="312EF110" w14:textId="77777777" w:rsidR="00612969" w:rsidRPr="007D2212" w:rsidRDefault="00E97743">
            <w:pPr>
              <w:pStyle w:val="IPPArialTable"/>
              <w:rPr>
                <w:lang w:eastAsia="en-AU"/>
              </w:rPr>
            </w:pPr>
            <w:r w:rsidRPr="007D2212">
              <w:rPr>
                <w:rStyle w:val="PleaseReviewParagraphId"/>
              </w:rPr>
              <w:t>[415]</w:t>
            </w:r>
          </w:p>
        </w:tc>
      </w:tr>
      <w:tr w:rsidR="00612969" w:rsidRPr="007D2212" w14:paraId="64AFFE66" w14:textId="77777777" w:rsidTr="00A4522D">
        <w:tc>
          <w:tcPr>
            <w:tcW w:w="3010" w:type="dxa"/>
            <w:tcBorders>
              <w:top w:val="single" w:sz="4" w:space="0" w:color="auto"/>
            </w:tcBorders>
            <w:shd w:val="clear" w:color="auto" w:fill="auto"/>
          </w:tcPr>
          <w:p w14:paraId="44093FEC" w14:textId="77777777" w:rsidR="00612969" w:rsidRPr="007D2212" w:rsidRDefault="00E97743">
            <w:pPr>
              <w:pStyle w:val="IPPArialTable"/>
              <w:rPr>
                <w:lang w:eastAsia="en-AU"/>
              </w:rPr>
            </w:pPr>
            <w:r w:rsidRPr="007D2212">
              <w:rPr>
                <w:rStyle w:val="PleaseReviewParagraphId"/>
              </w:rPr>
              <w:t>[416]</w:t>
            </w:r>
            <w:r w:rsidRPr="007D2212">
              <w:rPr>
                <w:lang w:eastAsia="en-AU"/>
              </w:rPr>
              <w:t>Initial denaturation</w:t>
            </w:r>
          </w:p>
        </w:tc>
        <w:tc>
          <w:tcPr>
            <w:tcW w:w="3012" w:type="dxa"/>
            <w:tcBorders>
              <w:top w:val="single" w:sz="4" w:space="0" w:color="auto"/>
            </w:tcBorders>
            <w:shd w:val="clear" w:color="auto" w:fill="auto"/>
          </w:tcPr>
          <w:p w14:paraId="31E621EB" w14:textId="77777777" w:rsidR="00612969" w:rsidRPr="007D2212" w:rsidRDefault="00E97743">
            <w:pPr>
              <w:pStyle w:val="IPPArialTable"/>
              <w:rPr>
                <w:lang w:eastAsia="en-AU"/>
              </w:rPr>
            </w:pPr>
            <w:r w:rsidRPr="007D2212">
              <w:rPr>
                <w:rStyle w:val="PleaseReviewParagraphId"/>
              </w:rPr>
              <w:t>[417]</w:t>
            </w:r>
            <w:r w:rsidRPr="007D2212">
              <w:rPr>
                <w:lang w:eastAsia="en-AU"/>
              </w:rPr>
              <w:t>94 °C for 2 min</w:t>
            </w:r>
          </w:p>
        </w:tc>
      </w:tr>
      <w:tr w:rsidR="00612969" w:rsidRPr="007D2212" w14:paraId="5F5397DF" w14:textId="77777777" w:rsidTr="00A4522D">
        <w:tc>
          <w:tcPr>
            <w:tcW w:w="3010" w:type="dxa"/>
            <w:shd w:val="clear" w:color="auto" w:fill="auto"/>
          </w:tcPr>
          <w:p w14:paraId="4EBF7A94" w14:textId="77777777" w:rsidR="00612969" w:rsidRPr="007D2212" w:rsidRDefault="00E97743">
            <w:pPr>
              <w:pStyle w:val="IPPArialTable"/>
              <w:rPr>
                <w:lang w:eastAsia="en-AU"/>
              </w:rPr>
            </w:pPr>
            <w:r w:rsidRPr="007D2212">
              <w:rPr>
                <w:rStyle w:val="PleaseReviewParagraphId"/>
              </w:rPr>
              <w:t>[418]</w:t>
            </w:r>
            <w:r w:rsidRPr="007D2212">
              <w:rPr>
                <w:lang w:eastAsia="en-AU"/>
              </w:rPr>
              <w:t>Number of cycles</w:t>
            </w:r>
          </w:p>
        </w:tc>
        <w:tc>
          <w:tcPr>
            <w:tcW w:w="3012" w:type="dxa"/>
            <w:shd w:val="clear" w:color="auto" w:fill="auto"/>
          </w:tcPr>
          <w:p w14:paraId="22CE4C58" w14:textId="77777777" w:rsidR="00612969" w:rsidRPr="007D2212" w:rsidRDefault="00E97743">
            <w:pPr>
              <w:pStyle w:val="IPPArialTable"/>
              <w:rPr>
                <w:lang w:eastAsia="en-AU"/>
              </w:rPr>
            </w:pPr>
            <w:r w:rsidRPr="007D2212">
              <w:rPr>
                <w:rStyle w:val="PleaseReviewParagraphId"/>
              </w:rPr>
              <w:t>[419]</w:t>
            </w:r>
            <w:r w:rsidRPr="007D2212">
              <w:rPr>
                <w:lang w:eastAsia="en-AU"/>
              </w:rPr>
              <w:t>35</w:t>
            </w:r>
          </w:p>
        </w:tc>
      </w:tr>
      <w:tr w:rsidR="00612969" w:rsidRPr="007D2212" w14:paraId="0483EAEF" w14:textId="77777777">
        <w:tc>
          <w:tcPr>
            <w:tcW w:w="3010" w:type="dxa"/>
            <w:shd w:val="clear" w:color="auto" w:fill="auto"/>
          </w:tcPr>
          <w:p w14:paraId="24F61FED" w14:textId="77777777" w:rsidR="00612969" w:rsidRPr="007D2212" w:rsidRDefault="00E97743" w:rsidP="00A4522D">
            <w:pPr>
              <w:pStyle w:val="IPPArialTable"/>
              <w:numPr>
                <w:ilvl w:val="0"/>
                <w:numId w:val="36"/>
              </w:numPr>
              <w:ind w:left="284" w:hanging="142"/>
              <w:rPr>
                <w:lang w:eastAsia="en-AU"/>
              </w:rPr>
            </w:pPr>
            <w:r w:rsidRPr="007D2212">
              <w:rPr>
                <w:rStyle w:val="PleaseReviewParagraphId"/>
              </w:rPr>
              <w:t>[420]</w:t>
            </w:r>
            <w:r w:rsidRPr="007D2212">
              <w:rPr>
                <w:lang w:eastAsia="en-AU"/>
              </w:rPr>
              <w:t>Denaturation</w:t>
            </w:r>
          </w:p>
        </w:tc>
        <w:tc>
          <w:tcPr>
            <w:tcW w:w="3012" w:type="dxa"/>
            <w:shd w:val="clear" w:color="auto" w:fill="auto"/>
          </w:tcPr>
          <w:p w14:paraId="11339FBE" w14:textId="77777777" w:rsidR="00612969" w:rsidRPr="007D2212" w:rsidRDefault="00E97743">
            <w:pPr>
              <w:pStyle w:val="IPPArialTable"/>
              <w:rPr>
                <w:lang w:eastAsia="en-AU"/>
              </w:rPr>
            </w:pPr>
            <w:r w:rsidRPr="007D2212">
              <w:rPr>
                <w:rStyle w:val="PleaseReviewParagraphId"/>
              </w:rPr>
              <w:t>[421]</w:t>
            </w:r>
            <w:r w:rsidRPr="007D2212">
              <w:rPr>
                <w:lang w:eastAsia="en-AU"/>
              </w:rPr>
              <w:t>94 °C for 15 s</w:t>
            </w:r>
          </w:p>
        </w:tc>
      </w:tr>
      <w:tr w:rsidR="00612969" w:rsidRPr="007D2212" w14:paraId="1D2DCCBC" w14:textId="77777777">
        <w:tc>
          <w:tcPr>
            <w:tcW w:w="3010" w:type="dxa"/>
            <w:shd w:val="clear" w:color="auto" w:fill="auto"/>
          </w:tcPr>
          <w:p w14:paraId="53D87B0F" w14:textId="77777777" w:rsidR="00612969" w:rsidRPr="007D2212" w:rsidRDefault="00E97743" w:rsidP="00A4522D">
            <w:pPr>
              <w:pStyle w:val="IPPArialTable"/>
              <w:numPr>
                <w:ilvl w:val="0"/>
                <w:numId w:val="36"/>
              </w:numPr>
              <w:ind w:left="284" w:hanging="142"/>
              <w:rPr>
                <w:lang w:eastAsia="en-AU"/>
              </w:rPr>
            </w:pPr>
            <w:r w:rsidRPr="007D2212">
              <w:rPr>
                <w:rStyle w:val="PleaseReviewParagraphId"/>
              </w:rPr>
              <w:t>[422]</w:t>
            </w:r>
            <w:r w:rsidRPr="007D2212">
              <w:rPr>
                <w:lang w:eastAsia="en-AU"/>
              </w:rPr>
              <w:t>Annealing</w:t>
            </w:r>
          </w:p>
        </w:tc>
        <w:tc>
          <w:tcPr>
            <w:tcW w:w="3012" w:type="dxa"/>
            <w:shd w:val="clear" w:color="auto" w:fill="auto"/>
          </w:tcPr>
          <w:p w14:paraId="32F5DD0B" w14:textId="77777777" w:rsidR="00612969" w:rsidRPr="007D2212" w:rsidRDefault="00E97743">
            <w:pPr>
              <w:pStyle w:val="IPPArialTable"/>
              <w:rPr>
                <w:lang w:eastAsia="en-AU"/>
              </w:rPr>
            </w:pPr>
            <w:r w:rsidRPr="007D2212">
              <w:rPr>
                <w:rStyle w:val="PleaseReviewParagraphId"/>
              </w:rPr>
              <w:t>[423]</w:t>
            </w:r>
            <w:r w:rsidRPr="007D2212">
              <w:rPr>
                <w:lang w:eastAsia="en-AU"/>
              </w:rPr>
              <w:t>60 °C for 20 s</w:t>
            </w:r>
          </w:p>
        </w:tc>
      </w:tr>
      <w:tr w:rsidR="00612969" w:rsidRPr="007D2212" w14:paraId="68DBA253" w14:textId="77777777" w:rsidTr="00A4522D">
        <w:tc>
          <w:tcPr>
            <w:tcW w:w="3010" w:type="dxa"/>
            <w:shd w:val="clear" w:color="auto" w:fill="auto"/>
          </w:tcPr>
          <w:p w14:paraId="011404B1" w14:textId="77777777" w:rsidR="00612969" w:rsidRPr="007D2212" w:rsidRDefault="00E97743" w:rsidP="00A4522D">
            <w:pPr>
              <w:pStyle w:val="IPPArialTable"/>
              <w:numPr>
                <w:ilvl w:val="0"/>
                <w:numId w:val="36"/>
              </w:numPr>
              <w:ind w:left="284" w:hanging="142"/>
              <w:rPr>
                <w:lang w:eastAsia="en-AU"/>
              </w:rPr>
            </w:pPr>
            <w:r w:rsidRPr="007D2212">
              <w:rPr>
                <w:rStyle w:val="PleaseReviewParagraphId"/>
              </w:rPr>
              <w:t>[424]</w:t>
            </w:r>
            <w:r w:rsidRPr="007D2212">
              <w:rPr>
                <w:lang w:eastAsia="en-AU"/>
              </w:rPr>
              <w:t>Elongation</w:t>
            </w:r>
          </w:p>
        </w:tc>
        <w:tc>
          <w:tcPr>
            <w:tcW w:w="3012" w:type="dxa"/>
            <w:shd w:val="clear" w:color="auto" w:fill="auto"/>
          </w:tcPr>
          <w:p w14:paraId="7804BD35" w14:textId="77777777" w:rsidR="00612969" w:rsidRPr="007D2212" w:rsidRDefault="00E97743">
            <w:pPr>
              <w:pStyle w:val="IPPArialTable"/>
              <w:rPr>
                <w:lang w:eastAsia="en-AU"/>
              </w:rPr>
            </w:pPr>
            <w:r w:rsidRPr="007D2212">
              <w:rPr>
                <w:rStyle w:val="PleaseReviewParagraphId"/>
              </w:rPr>
              <w:t>[425]</w:t>
            </w:r>
            <w:r w:rsidRPr="007D2212">
              <w:rPr>
                <w:lang w:eastAsia="en-AU"/>
              </w:rPr>
              <w:t>69 °C for 60 s</w:t>
            </w:r>
          </w:p>
        </w:tc>
      </w:tr>
      <w:tr w:rsidR="00612969" w:rsidRPr="007D2212" w14:paraId="6E3A4056" w14:textId="77777777" w:rsidTr="00A4522D">
        <w:tc>
          <w:tcPr>
            <w:tcW w:w="3010" w:type="dxa"/>
            <w:tcBorders>
              <w:bottom w:val="single" w:sz="4" w:space="0" w:color="auto"/>
            </w:tcBorders>
            <w:shd w:val="clear" w:color="auto" w:fill="auto"/>
          </w:tcPr>
          <w:p w14:paraId="4CEF2A23" w14:textId="77777777" w:rsidR="00612969" w:rsidRPr="007D2212" w:rsidRDefault="00E97743">
            <w:pPr>
              <w:pStyle w:val="IPPArialTable"/>
              <w:rPr>
                <w:lang w:eastAsia="en-AU"/>
              </w:rPr>
            </w:pPr>
            <w:r w:rsidRPr="007D2212">
              <w:rPr>
                <w:rStyle w:val="PleaseReviewParagraphId"/>
              </w:rPr>
              <w:t>[426]</w:t>
            </w:r>
            <w:r w:rsidRPr="007D2212">
              <w:rPr>
                <w:lang w:eastAsia="en-AU"/>
              </w:rPr>
              <w:t>Final elongation</w:t>
            </w:r>
          </w:p>
        </w:tc>
        <w:tc>
          <w:tcPr>
            <w:tcW w:w="3012" w:type="dxa"/>
            <w:tcBorders>
              <w:bottom w:val="single" w:sz="4" w:space="0" w:color="auto"/>
            </w:tcBorders>
            <w:shd w:val="clear" w:color="auto" w:fill="auto"/>
          </w:tcPr>
          <w:p w14:paraId="0E304E58" w14:textId="77777777" w:rsidR="00612969" w:rsidRPr="007D2212" w:rsidRDefault="00E97743">
            <w:pPr>
              <w:pStyle w:val="IPPArialTable"/>
              <w:rPr>
                <w:lang w:eastAsia="en-AU"/>
              </w:rPr>
            </w:pPr>
            <w:r w:rsidRPr="007D2212">
              <w:rPr>
                <w:rStyle w:val="PleaseReviewParagraphId"/>
              </w:rPr>
              <w:t>[427]</w:t>
            </w:r>
            <w:r w:rsidRPr="007D2212">
              <w:rPr>
                <w:lang w:eastAsia="en-AU"/>
              </w:rPr>
              <w:t>68 °C for 5 min</w:t>
            </w:r>
          </w:p>
        </w:tc>
      </w:tr>
      <w:tr w:rsidR="00612969" w:rsidRPr="007D2212" w14:paraId="5A99FD39" w14:textId="77777777" w:rsidTr="00A4522D">
        <w:tc>
          <w:tcPr>
            <w:tcW w:w="3010" w:type="dxa"/>
            <w:tcBorders>
              <w:top w:val="single" w:sz="4" w:space="0" w:color="auto"/>
              <w:bottom w:val="single" w:sz="4" w:space="0" w:color="auto"/>
            </w:tcBorders>
            <w:shd w:val="clear" w:color="auto" w:fill="BFBFBF" w:themeFill="background1" w:themeFillShade="BF"/>
          </w:tcPr>
          <w:p w14:paraId="4BC31030" w14:textId="3B4A7C49" w:rsidR="00612969" w:rsidRPr="007D2212" w:rsidRDefault="00E97743">
            <w:pPr>
              <w:pStyle w:val="IPPArialTable"/>
              <w:rPr>
                <w:lang w:eastAsia="en-AU"/>
              </w:rPr>
            </w:pPr>
            <w:r w:rsidRPr="007D2212">
              <w:rPr>
                <w:rStyle w:val="PleaseReviewParagraphId"/>
              </w:rPr>
              <w:t>[428]</w:t>
            </w:r>
            <w:r w:rsidRPr="00A4522D">
              <w:rPr>
                <w:b/>
                <w:lang w:eastAsia="en-AU"/>
              </w:rPr>
              <w:t xml:space="preserve">Expected </w:t>
            </w:r>
            <w:r w:rsidR="00C458AC" w:rsidRPr="00A4522D">
              <w:rPr>
                <w:b/>
                <w:lang w:eastAsia="en-AU"/>
              </w:rPr>
              <w:t>a</w:t>
            </w:r>
            <w:r w:rsidRPr="00A4522D">
              <w:rPr>
                <w:b/>
                <w:lang w:eastAsia="en-AU"/>
              </w:rPr>
              <w:t>mplicon</w:t>
            </w:r>
            <w:r w:rsidR="00C458AC" w:rsidRPr="00A4522D">
              <w:rPr>
                <w:b/>
                <w:lang w:eastAsia="en-AU"/>
              </w:rPr>
              <w:t>s</w:t>
            </w:r>
          </w:p>
        </w:tc>
        <w:tc>
          <w:tcPr>
            <w:tcW w:w="3012" w:type="dxa"/>
            <w:tcBorders>
              <w:top w:val="single" w:sz="4" w:space="0" w:color="auto"/>
              <w:bottom w:val="single" w:sz="4" w:space="0" w:color="auto"/>
            </w:tcBorders>
            <w:shd w:val="clear" w:color="auto" w:fill="BFBFBF" w:themeFill="background1" w:themeFillShade="BF"/>
          </w:tcPr>
          <w:p w14:paraId="1550DF7A" w14:textId="338EDBC1" w:rsidR="00612969" w:rsidRPr="007D2212" w:rsidRDefault="00E97743">
            <w:pPr>
              <w:pStyle w:val="IPPArialTable"/>
              <w:rPr>
                <w:lang w:eastAsia="en-AU"/>
              </w:rPr>
            </w:pPr>
            <w:r w:rsidRPr="007D2212">
              <w:rPr>
                <w:rStyle w:val="PleaseReviewParagraphId"/>
              </w:rPr>
              <w:t>[429]</w:t>
            </w:r>
          </w:p>
        </w:tc>
      </w:tr>
      <w:tr w:rsidR="00612969" w:rsidRPr="007D2212" w14:paraId="37200154" w14:textId="77777777">
        <w:tc>
          <w:tcPr>
            <w:tcW w:w="3010" w:type="dxa"/>
            <w:tcBorders>
              <w:top w:val="single" w:sz="4" w:space="0" w:color="auto"/>
              <w:bottom w:val="single" w:sz="4" w:space="0" w:color="auto"/>
            </w:tcBorders>
            <w:shd w:val="clear" w:color="auto" w:fill="auto"/>
          </w:tcPr>
          <w:p w14:paraId="60944C7F" w14:textId="0A914FC9" w:rsidR="00612969" w:rsidRPr="007D2212" w:rsidRDefault="00E97743">
            <w:pPr>
              <w:pStyle w:val="IPPArialTable"/>
              <w:rPr>
                <w:lang w:eastAsia="en-AU"/>
              </w:rPr>
            </w:pPr>
            <w:r w:rsidRPr="007D2212">
              <w:rPr>
                <w:rStyle w:val="PleaseReviewParagraphId"/>
              </w:rPr>
              <w:t>[430]</w:t>
            </w:r>
            <w:r w:rsidR="00B25592" w:rsidRPr="00A4522D">
              <w:t>Size</w:t>
            </w:r>
          </w:p>
        </w:tc>
        <w:tc>
          <w:tcPr>
            <w:tcW w:w="3012" w:type="dxa"/>
            <w:tcBorders>
              <w:top w:val="single" w:sz="4" w:space="0" w:color="auto"/>
              <w:bottom w:val="single" w:sz="4" w:space="0" w:color="auto"/>
            </w:tcBorders>
            <w:shd w:val="clear" w:color="auto" w:fill="auto"/>
          </w:tcPr>
          <w:p w14:paraId="66C67BF3" w14:textId="4AFADAE1" w:rsidR="00B25592" w:rsidRDefault="00E97743">
            <w:pPr>
              <w:pStyle w:val="IPPArialTable"/>
              <w:rPr>
                <w:lang w:eastAsia="en-AU"/>
              </w:rPr>
            </w:pPr>
            <w:r w:rsidRPr="007D2212">
              <w:rPr>
                <w:rStyle w:val="PleaseReviewParagraphId"/>
              </w:rPr>
              <w:t>[431]</w:t>
            </w:r>
            <w:r w:rsidR="00B25592" w:rsidRPr="007D2212">
              <w:rPr>
                <w:lang w:eastAsia="en-AU"/>
              </w:rPr>
              <w:t>500</w:t>
            </w:r>
            <w:r w:rsidR="00B25592">
              <w:rPr>
                <w:lang w:eastAsia="en-AU"/>
              </w:rPr>
              <w:t>–</w:t>
            </w:r>
            <w:r w:rsidR="00B25592" w:rsidRPr="007D2212">
              <w:rPr>
                <w:lang w:eastAsia="en-AU"/>
              </w:rPr>
              <w:t>550</w:t>
            </w:r>
            <w:r w:rsidR="00B25592">
              <w:rPr>
                <w:lang w:eastAsia="en-AU"/>
              </w:rPr>
              <w:t> </w:t>
            </w:r>
            <w:r w:rsidR="00B25592" w:rsidRPr="007D2212">
              <w:rPr>
                <w:lang w:eastAsia="en-AU"/>
              </w:rPr>
              <w:t>bp</w:t>
            </w:r>
          </w:p>
          <w:p w14:paraId="34478758" w14:textId="647DA7FF" w:rsidR="00612969" w:rsidRPr="007D2212" w:rsidRDefault="00B25592">
            <w:pPr>
              <w:pStyle w:val="IPPArialTable"/>
              <w:rPr>
                <w:lang w:eastAsia="en-AU"/>
              </w:rPr>
            </w:pPr>
            <w:r>
              <w:rPr>
                <w:lang w:eastAsia="en-AU"/>
              </w:rPr>
              <w:t>(</w:t>
            </w:r>
            <w:r w:rsidRPr="007D2212">
              <w:rPr>
                <w:lang w:eastAsia="en-AU"/>
              </w:rPr>
              <w:t>the amplicon size varies for species and individuals</w:t>
            </w:r>
            <w:r>
              <w:rPr>
                <w:lang w:eastAsia="en-AU"/>
              </w:rPr>
              <w:t>)</w:t>
            </w:r>
          </w:p>
        </w:tc>
      </w:tr>
    </w:tbl>
    <w:p w14:paraId="61DFBC7E" w14:textId="77777777" w:rsidR="00612969" w:rsidRPr="007D2212" w:rsidRDefault="00E97743">
      <w:pPr>
        <w:pStyle w:val="IPPArialFootnote"/>
      </w:pPr>
      <w:r w:rsidRPr="007D2212">
        <w:rPr>
          <w:rStyle w:val="PleaseReviewParagraphId"/>
        </w:rPr>
        <w:t>[432]</w:t>
      </w:r>
      <w:r w:rsidRPr="007D2212">
        <w:rPr>
          <w:vertAlign w:val="superscript"/>
        </w:rPr>
        <w:t>†</w:t>
      </w:r>
      <w:r w:rsidRPr="007D2212">
        <w:t xml:space="preserve"> For a final reaction volume of 30 </w:t>
      </w:r>
      <w:r w:rsidRPr="007D2212">
        <w:rPr>
          <w:rFonts w:cs="Arial"/>
        </w:rPr>
        <w:t>µ</w:t>
      </w:r>
      <w:r w:rsidRPr="007D2212">
        <w:t>l.</w:t>
      </w:r>
    </w:p>
    <w:p w14:paraId="5F4F2AD4" w14:textId="1DA5E23B" w:rsidR="00612969" w:rsidRPr="007D2212" w:rsidRDefault="00E97743">
      <w:pPr>
        <w:pStyle w:val="IPPArialFootnote"/>
        <w:rPr>
          <w:bCs/>
          <w:color w:val="000000" w:themeColor="text1"/>
        </w:rPr>
      </w:pPr>
      <w:r w:rsidRPr="007D2212">
        <w:rPr>
          <w:rStyle w:val="PleaseReviewParagraphId"/>
        </w:rPr>
        <w:t>[433]</w:t>
      </w:r>
      <w:r w:rsidR="00B25592" w:rsidRPr="00A4522D">
        <w:t xml:space="preserve">bp, base pairs; </w:t>
      </w:r>
      <w:r w:rsidRPr="007D2212">
        <w:rPr>
          <w:bCs/>
          <w:color w:val="000000" w:themeColor="text1"/>
        </w:rPr>
        <w:t>PCR, polymerase chain reaction.</w:t>
      </w:r>
    </w:p>
    <w:p w14:paraId="7B2AE6EC" w14:textId="5AB9D9FF" w:rsidR="00612969" w:rsidRPr="007D2212" w:rsidRDefault="00E97743">
      <w:pPr>
        <w:pStyle w:val="IPPNormal"/>
      </w:pPr>
      <w:r w:rsidRPr="007D2212">
        <w:rPr>
          <w:rStyle w:val="PleaseReviewParagraphId"/>
        </w:rPr>
        <w:t>[434]</w:t>
      </w:r>
      <w:r w:rsidRPr="007D2212">
        <w:t>Sanger sequencing of PCR products should be carried out using each primer to generate two independent DNA sequence read</w:t>
      </w:r>
      <w:r w:rsidR="001209C1">
        <w:t>s</w:t>
      </w:r>
      <w:r w:rsidRPr="007D2212">
        <w:t xml:space="preserve"> in alternate directions. These sequences should be aligned to identify conflicting information. Chromatograms should be edited to resolve conflicting signals. If multiple peaks at a nucleotide are observed in the sequences generated using both the forward and reverse primers then the site should be assigned as an ambiguous base (i.e. N = A, C, T or G). The final edited sequence should be at least 400 base pairs (bp) in length for data interpretation.</w:t>
      </w:r>
    </w:p>
    <w:p w14:paraId="37E9D8C2" w14:textId="77777777" w:rsidR="00612969" w:rsidRPr="007D2212" w:rsidRDefault="00E97743" w:rsidP="00A4522D">
      <w:pPr>
        <w:pStyle w:val="IPPHeading2"/>
      </w:pPr>
      <w:r w:rsidRPr="007D2212">
        <w:rPr>
          <w:rStyle w:val="PleaseReviewParagraphId"/>
          <w:b w:val="0"/>
          <w:i/>
        </w:rPr>
        <w:t>[435]</w:t>
      </w:r>
      <w:r w:rsidRPr="007D2212">
        <w:t>4.3.3</w:t>
      </w:r>
      <w:r w:rsidRPr="007D2212">
        <w:tab/>
        <w:t>Controls for molecular tests</w:t>
      </w:r>
    </w:p>
    <w:p w14:paraId="212D490B" w14:textId="11A57B9E" w:rsidR="00612969" w:rsidRPr="007D2212" w:rsidRDefault="00E97743">
      <w:pPr>
        <w:pStyle w:val="IPPNormal"/>
      </w:pPr>
      <w:r w:rsidRPr="007D2212">
        <w:rPr>
          <w:rStyle w:val="PleaseReviewParagraphId"/>
        </w:rPr>
        <w:t>[436]</w:t>
      </w:r>
      <w:r w:rsidRPr="007D2212">
        <w:t xml:space="preserve">For the test result to be considered reliable, </w:t>
      </w:r>
      <w:r w:rsidR="001E384B">
        <w:t xml:space="preserve">appropriate </w:t>
      </w:r>
      <w:r w:rsidRPr="007D2212">
        <w:t>controls should be considered for each series of nucleic acid extractions and PCR amplifications of the target pest. As a minimum, a positive nucleic acid control and a negative amplification control (no template control) should be used for the ITS1 PCR test.</w:t>
      </w:r>
    </w:p>
    <w:p w14:paraId="6157F82C" w14:textId="77777777" w:rsidR="00612969" w:rsidRPr="007D2212" w:rsidRDefault="00E97743">
      <w:pPr>
        <w:pStyle w:val="IPPNormal"/>
      </w:pPr>
      <w:r w:rsidRPr="007D2212">
        <w:rPr>
          <w:rStyle w:val="PleaseReviewParagraphId"/>
        </w:rPr>
        <w:t>[437]</w:t>
      </w:r>
      <w:r w:rsidRPr="007D2212">
        <w:rPr>
          <w:b/>
        </w:rPr>
        <w:t xml:space="preserve">Positive nucleic acid control. </w:t>
      </w:r>
      <w:r w:rsidRPr="007D2212">
        <w:t>This control is used to monitor the efficiency of the test method (apart from the extraction). Pre-prepared (stored) genomic DNA may be used.</w:t>
      </w:r>
    </w:p>
    <w:p w14:paraId="06D88D46" w14:textId="77777777" w:rsidR="00612969" w:rsidRPr="007D2212" w:rsidRDefault="00E97743">
      <w:pPr>
        <w:pStyle w:val="IPPNormal"/>
      </w:pPr>
      <w:r w:rsidRPr="007D2212">
        <w:rPr>
          <w:rStyle w:val="PleaseReviewParagraphId"/>
        </w:rPr>
        <w:t>[438]</w:t>
      </w:r>
      <w:r w:rsidRPr="007D2212">
        <w:rPr>
          <w:b/>
        </w:rPr>
        <w:t xml:space="preserve">Negative amplification control (no template control). </w:t>
      </w:r>
      <w:r w:rsidRPr="007D2212">
        <w:t>This control is necessary to rule out false positives due to contamination with other genetic material during the preparation of the reaction mixture. PCR grade water that was used to prepare the reaction mixture is added in place of template DNA.</w:t>
      </w:r>
    </w:p>
    <w:p w14:paraId="3CB06F60" w14:textId="77777777" w:rsidR="00612969" w:rsidRPr="007D2212" w:rsidRDefault="00E97743">
      <w:pPr>
        <w:pStyle w:val="IPPNormal"/>
      </w:pPr>
      <w:r w:rsidRPr="007D2212">
        <w:rPr>
          <w:rStyle w:val="PleaseReviewParagraphId"/>
        </w:rPr>
        <w:t>[439]</w:t>
      </w:r>
      <w:r w:rsidRPr="007D2212">
        <w:rPr>
          <w:b/>
        </w:rPr>
        <w:t xml:space="preserve">Negative extraction control. </w:t>
      </w:r>
      <w:r w:rsidRPr="007D2212">
        <w:t>This control is used to monitor contamination during nucleic acid extraction. This requires processing extraction blanks alongside the samples to be tested.</w:t>
      </w:r>
    </w:p>
    <w:p w14:paraId="57AD9183" w14:textId="77777777" w:rsidR="00612969" w:rsidRPr="007D2212" w:rsidRDefault="00E97743" w:rsidP="00A4522D">
      <w:pPr>
        <w:pStyle w:val="IPPHeading2"/>
      </w:pPr>
      <w:r w:rsidRPr="007D2212">
        <w:rPr>
          <w:rStyle w:val="PleaseReviewParagraphId"/>
          <w:b w:val="0"/>
          <w:i/>
        </w:rPr>
        <w:lastRenderedPageBreak/>
        <w:t>[440]</w:t>
      </w:r>
      <w:r w:rsidRPr="007D2212">
        <w:t>4.3.4</w:t>
      </w:r>
      <w:r w:rsidRPr="007D2212">
        <w:tab/>
        <w:t>Interpretation of molecular test results</w:t>
      </w:r>
    </w:p>
    <w:p w14:paraId="07267C72" w14:textId="3F1157BE" w:rsidR="00CC34C1" w:rsidRDefault="00E97743" w:rsidP="00A4522D">
      <w:pPr>
        <w:pStyle w:val="IPPNormalCloseSpace"/>
      </w:pPr>
      <w:r w:rsidRPr="007D2212">
        <w:rPr>
          <w:rStyle w:val="PleaseReviewParagraphId"/>
        </w:rPr>
        <w:t>[441]</w:t>
      </w:r>
      <w:r w:rsidRPr="007D2212">
        <w:t xml:space="preserve">The size of ITS1 is different for </w:t>
      </w:r>
      <w:r w:rsidRPr="007D2212">
        <w:rPr>
          <w:i/>
        </w:rPr>
        <w:t>B.</w:t>
      </w:r>
      <w:r w:rsidRPr="007D2212">
        <w:rPr>
          <w:i/>
          <w:szCs w:val="22"/>
        </w:rPr>
        <w:t> </w:t>
      </w:r>
      <w:r w:rsidRPr="007D2212">
        <w:rPr>
          <w:i/>
        </w:rPr>
        <w:t>carambolae</w:t>
      </w:r>
      <w:r w:rsidRPr="007D2212">
        <w:t xml:space="preserve"> and </w:t>
      </w:r>
      <w:r w:rsidRPr="007D2212">
        <w:rPr>
          <w:i/>
        </w:rPr>
        <w:t>B.</w:t>
      </w:r>
      <w:r w:rsidRPr="007D2212">
        <w:rPr>
          <w:i/>
          <w:szCs w:val="22"/>
        </w:rPr>
        <w:t> </w:t>
      </w:r>
      <w:r w:rsidRPr="007D2212">
        <w:rPr>
          <w:i/>
        </w:rPr>
        <w:t>dorsalis</w:t>
      </w:r>
      <w:r w:rsidRPr="007D2212">
        <w:t xml:space="preserve"> because of a 44-bp insertion in </w:t>
      </w:r>
      <w:r w:rsidRPr="007D2212">
        <w:rPr>
          <w:i/>
        </w:rPr>
        <w:t>B.</w:t>
      </w:r>
      <w:r w:rsidRPr="007D2212">
        <w:rPr>
          <w:i/>
          <w:szCs w:val="22"/>
        </w:rPr>
        <w:t> </w:t>
      </w:r>
      <w:r w:rsidRPr="007D2212">
        <w:rPr>
          <w:i/>
        </w:rPr>
        <w:t>carambolae</w:t>
      </w:r>
      <w:r w:rsidRPr="007D2212">
        <w:t xml:space="preserve"> located near the </w:t>
      </w:r>
      <w:r w:rsidR="00482198">
        <w:t xml:space="preserve">binding site of the </w:t>
      </w:r>
      <w:r w:rsidRPr="007D2212">
        <w:t xml:space="preserve">ITS7 primer. The inserted DNA is identical in all </w:t>
      </w:r>
      <w:r w:rsidRPr="007D2212">
        <w:rPr>
          <w:i/>
        </w:rPr>
        <w:t>B.</w:t>
      </w:r>
      <w:r w:rsidRPr="007D2212">
        <w:rPr>
          <w:i/>
          <w:szCs w:val="22"/>
        </w:rPr>
        <w:t> </w:t>
      </w:r>
      <w:r w:rsidRPr="007D2212">
        <w:rPr>
          <w:i/>
        </w:rPr>
        <w:t>carambolae</w:t>
      </w:r>
      <w:r w:rsidRPr="007D2212">
        <w:t xml:space="preserve"> studied. The</w:t>
      </w:r>
      <w:r w:rsidRPr="007D2212">
        <w:rPr>
          <w:rFonts w:eastAsiaTheme="minorEastAsia"/>
          <w:lang w:eastAsia="ja-JP"/>
        </w:rPr>
        <w:t xml:space="preserve"> </w:t>
      </w:r>
      <w:r w:rsidRPr="007D2212">
        <w:t>sequence of the insertion is:</w:t>
      </w:r>
    </w:p>
    <w:p w14:paraId="38B42E0D" w14:textId="63D9D5BA" w:rsidR="00612969" w:rsidRPr="007D2212" w:rsidRDefault="00E97743" w:rsidP="00A4522D">
      <w:pPr>
        <w:pStyle w:val="IPPIndent"/>
      </w:pPr>
      <w:r w:rsidRPr="007D2212">
        <w:t>5´-</w:t>
      </w:r>
      <w:r w:rsidRPr="007D2212">
        <w:rPr>
          <w:rFonts w:eastAsiaTheme="minorEastAsia"/>
          <w:lang w:eastAsia="ja-JP"/>
        </w:rPr>
        <w:t xml:space="preserve"> </w:t>
      </w:r>
      <w:r w:rsidRPr="007D2212">
        <w:t>GAA</w:t>
      </w:r>
      <w:r w:rsidR="00CC34C1">
        <w:t xml:space="preserve"> </w:t>
      </w:r>
      <w:r w:rsidRPr="007D2212">
        <w:t>AAA</w:t>
      </w:r>
      <w:r w:rsidR="00CC34C1">
        <w:t xml:space="preserve"> </w:t>
      </w:r>
      <w:r w:rsidRPr="007D2212">
        <w:t>TTA</w:t>
      </w:r>
      <w:r w:rsidR="00CC34C1">
        <w:t xml:space="preserve"> </w:t>
      </w:r>
      <w:r w:rsidRPr="007D2212">
        <w:t>ATA</w:t>
      </w:r>
      <w:r w:rsidR="00CC34C1">
        <w:t xml:space="preserve"> </w:t>
      </w:r>
      <w:r w:rsidRPr="007D2212">
        <w:t>AAA</w:t>
      </w:r>
      <w:r w:rsidR="00CC34C1">
        <w:t xml:space="preserve"> </w:t>
      </w:r>
      <w:r w:rsidRPr="007D2212">
        <w:t>AGT</w:t>
      </w:r>
      <w:r w:rsidR="00CC34C1">
        <w:t xml:space="preserve"> </w:t>
      </w:r>
      <w:r w:rsidRPr="007D2212">
        <w:t>TAA</w:t>
      </w:r>
      <w:r w:rsidR="00CC34C1">
        <w:t xml:space="preserve"> </w:t>
      </w:r>
      <w:r w:rsidRPr="007D2212">
        <w:t>ATG</w:t>
      </w:r>
      <w:r w:rsidR="00CC34C1">
        <w:t xml:space="preserve"> </w:t>
      </w:r>
      <w:r w:rsidRPr="007D2212">
        <w:t>ATC</w:t>
      </w:r>
      <w:r w:rsidR="00CC34C1">
        <w:t xml:space="preserve"> </w:t>
      </w:r>
      <w:r w:rsidRPr="007D2212">
        <w:t>TTT</w:t>
      </w:r>
      <w:r w:rsidR="00CC34C1">
        <w:t xml:space="preserve"> </w:t>
      </w:r>
      <w:r w:rsidRPr="007D2212">
        <w:t>TTA</w:t>
      </w:r>
      <w:r w:rsidR="00CC34C1">
        <w:t xml:space="preserve"> </w:t>
      </w:r>
      <w:r w:rsidRPr="007D2212">
        <w:t>TAA</w:t>
      </w:r>
      <w:r w:rsidR="00CC34C1">
        <w:t xml:space="preserve"> </w:t>
      </w:r>
      <w:r w:rsidRPr="007D2212">
        <w:t>AAA</w:t>
      </w:r>
      <w:r w:rsidR="00CC34C1">
        <w:t xml:space="preserve"> </w:t>
      </w:r>
      <w:r w:rsidRPr="007D2212">
        <w:t>AT-3´</w:t>
      </w:r>
    </w:p>
    <w:p w14:paraId="73576BEE" w14:textId="36E921D4" w:rsidR="00612969" w:rsidRPr="007D2212" w:rsidRDefault="00E97743">
      <w:pPr>
        <w:pStyle w:val="IPPNormal"/>
      </w:pPr>
      <w:r w:rsidRPr="007D2212">
        <w:rPr>
          <w:rStyle w:val="PleaseReviewParagraphId"/>
        </w:rPr>
        <w:t>[442]</w:t>
      </w:r>
      <w:r w:rsidRPr="007D2212">
        <w:t xml:space="preserve">The ITS1 sequence is variable between conspecific specimens of these two species (Boykin </w:t>
      </w:r>
      <w:r w:rsidRPr="007D2212">
        <w:rPr>
          <w:i/>
        </w:rPr>
        <w:t>et al.</w:t>
      </w:r>
      <w:r w:rsidRPr="007D2212">
        <w:t xml:space="preserve">, 2014). Consequently, an identical match for sites outside of the insertion region is not expected. However, the test sequence should be at least 99% similar to one of the reference sequences for the interpretation to proceed. It is possible to distinguish between </w:t>
      </w:r>
      <w:r w:rsidRPr="007D2212">
        <w:rPr>
          <w:i/>
        </w:rPr>
        <w:t>B.</w:t>
      </w:r>
      <w:r w:rsidRPr="007D2212">
        <w:rPr>
          <w:i/>
          <w:szCs w:val="22"/>
        </w:rPr>
        <w:t> </w:t>
      </w:r>
      <w:r w:rsidRPr="007D2212">
        <w:rPr>
          <w:i/>
        </w:rPr>
        <w:t>carambolae</w:t>
      </w:r>
      <w:r w:rsidRPr="007D2212">
        <w:t xml:space="preserve"> and </w:t>
      </w:r>
      <w:r w:rsidRPr="007D2212">
        <w:rPr>
          <w:i/>
        </w:rPr>
        <w:t>B.</w:t>
      </w:r>
      <w:r w:rsidRPr="007D2212">
        <w:rPr>
          <w:i/>
          <w:szCs w:val="22"/>
        </w:rPr>
        <w:t> </w:t>
      </w:r>
      <w:r w:rsidRPr="007D2212">
        <w:rPr>
          <w:i/>
        </w:rPr>
        <w:t>dorsalis</w:t>
      </w:r>
      <w:r w:rsidRPr="007D2212">
        <w:t xml:space="preserve"> </w:t>
      </w:r>
      <w:r w:rsidRPr="007D2212">
        <w:rPr>
          <w:rFonts w:eastAsiaTheme="minorEastAsia"/>
          <w:i/>
          <w:lang w:eastAsia="ja-JP"/>
        </w:rPr>
        <w:t>s.l.</w:t>
      </w:r>
      <w:r w:rsidRPr="007D2212">
        <w:rPr>
          <w:rFonts w:eastAsiaTheme="minorEastAsia"/>
          <w:lang w:eastAsia="ja-JP"/>
        </w:rPr>
        <w:t xml:space="preserve"> </w:t>
      </w:r>
      <w:r w:rsidRPr="007D2212">
        <w:t xml:space="preserve">after comparing the DNA sequence of the tested specimen with a representative sequence of each species: GenBank KC446737 for </w:t>
      </w:r>
      <w:r w:rsidRPr="007D2212">
        <w:rPr>
          <w:i/>
        </w:rPr>
        <w:t>B.</w:t>
      </w:r>
      <w:r w:rsidRPr="007D2212">
        <w:rPr>
          <w:i/>
          <w:szCs w:val="22"/>
        </w:rPr>
        <w:t> </w:t>
      </w:r>
      <w:r w:rsidRPr="007D2212">
        <w:rPr>
          <w:i/>
        </w:rPr>
        <w:t>carambolae</w:t>
      </w:r>
      <w:r w:rsidRPr="007D2212">
        <w:t xml:space="preserve"> and KC446776 for </w:t>
      </w:r>
      <w:r w:rsidRPr="007D2212">
        <w:rPr>
          <w:i/>
        </w:rPr>
        <w:t>B.</w:t>
      </w:r>
      <w:r w:rsidRPr="007D2212">
        <w:rPr>
          <w:i/>
          <w:szCs w:val="22"/>
        </w:rPr>
        <w:t> </w:t>
      </w:r>
      <w:r w:rsidRPr="007D2212">
        <w:rPr>
          <w:i/>
        </w:rPr>
        <w:t>dorsalis</w:t>
      </w:r>
      <w:r w:rsidR="00612E2D">
        <w:rPr>
          <w:i/>
        </w:rPr>
        <w:t xml:space="preserve"> s.l.</w:t>
      </w:r>
      <w:r w:rsidRPr="007D2212">
        <w:t xml:space="preserve">. If the tested sequence is most similar to </w:t>
      </w:r>
      <w:r w:rsidRPr="007D2212">
        <w:rPr>
          <w:i/>
        </w:rPr>
        <w:t>B.</w:t>
      </w:r>
      <w:r w:rsidRPr="007D2212">
        <w:rPr>
          <w:i/>
          <w:szCs w:val="22"/>
        </w:rPr>
        <w:t> </w:t>
      </w:r>
      <w:r w:rsidRPr="007D2212">
        <w:rPr>
          <w:i/>
        </w:rPr>
        <w:t>carambolae</w:t>
      </w:r>
      <w:r w:rsidRPr="007D2212">
        <w:t xml:space="preserve"> and has the 44-bp insertion region, then it can be diagnosed as </w:t>
      </w:r>
      <w:r w:rsidRPr="007D2212">
        <w:rPr>
          <w:i/>
        </w:rPr>
        <w:t>B.</w:t>
      </w:r>
      <w:r w:rsidRPr="007D2212">
        <w:rPr>
          <w:i/>
          <w:szCs w:val="22"/>
        </w:rPr>
        <w:t> </w:t>
      </w:r>
      <w:r w:rsidRPr="007D2212">
        <w:rPr>
          <w:i/>
        </w:rPr>
        <w:t>carambolae</w:t>
      </w:r>
      <w:r w:rsidRPr="007D2212">
        <w:t xml:space="preserve">. If the tested sequence is most similar to </w:t>
      </w:r>
      <w:r w:rsidRPr="007D2212">
        <w:rPr>
          <w:i/>
        </w:rPr>
        <w:t>B.</w:t>
      </w:r>
      <w:r w:rsidRPr="007D2212">
        <w:rPr>
          <w:i/>
          <w:szCs w:val="22"/>
        </w:rPr>
        <w:t> </w:t>
      </w:r>
      <w:r w:rsidRPr="007D2212">
        <w:rPr>
          <w:i/>
        </w:rPr>
        <w:t>dorsalis</w:t>
      </w:r>
      <w:r w:rsidR="00612E2D">
        <w:rPr>
          <w:i/>
        </w:rPr>
        <w:t xml:space="preserve"> s.l.</w:t>
      </w:r>
      <w:r w:rsidRPr="007D2212">
        <w:t xml:space="preserve"> and lacks the insertion region, then it is diagnosed as not </w:t>
      </w:r>
      <w:r w:rsidRPr="007D2212">
        <w:rPr>
          <w:i/>
        </w:rPr>
        <w:t>B.</w:t>
      </w:r>
      <w:r w:rsidRPr="007D2212">
        <w:rPr>
          <w:i/>
          <w:szCs w:val="22"/>
        </w:rPr>
        <w:t> </w:t>
      </w:r>
      <w:r w:rsidRPr="007D2212">
        <w:rPr>
          <w:i/>
        </w:rPr>
        <w:t>carambolae</w:t>
      </w:r>
      <w:r w:rsidRPr="007D2212">
        <w:t xml:space="preserve">. Several other species in the </w:t>
      </w:r>
      <w:r w:rsidRPr="007D2212">
        <w:rPr>
          <w:i/>
        </w:rPr>
        <w:t>B.</w:t>
      </w:r>
      <w:r w:rsidRPr="007D2212">
        <w:rPr>
          <w:i/>
          <w:szCs w:val="22"/>
        </w:rPr>
        <w:t> </w:t>
      </w:r>
      <w:r w:rsidRPr="007D2212">
        <w:rPr>
          <w:i/>
        </w:rPr>
        <w:t>dorsalis</w:t>
      </w:r>
      <w:r w:rsidRPr="007D2212">
        <w:rPr>
          <w:rFonts w:eastAsiaTheme="minorEastAsia"/>
          <w:i/>
          <w:lang w:eastAsia="ja-JP"/>
        </w:rPr>
        <w:t xml:space="preserve"> </w:t>
      </w:r>
      <w:r w:rsidRPr="007D2212">
        <w:t xml:space="preserve">complex lack the insertion and a match with </w:t>
      </w:r>
      <w:r w:rsidRPr="007D2212">
        <w:rPr>
          <w:i/>
        </w:rPr>
        <w:t>B.</w:t>
      </w:r>
      <w:r w:rsidRPr="007D2212">
        <w:rPr>
          <w:i/>
          <w:szCs w:val="22"/>
        </w:rPr>
        <w:t> </w:t>
      </w:r>
      <w:r w:rsidRPr="007D2212">
        <w:rPr>
          <w:i/>
        </w:rPr>
        <w:t>dorsalis</w:t>
      </w:r>
      <w:r w:rsidRPr="007D2212">
        <w:t xml:space="preserve"> </w:t>
      </w:r>
      <w:r w:rsidRPr="007D2212">
        <w:rPr>
          <w:rFonts w:eastAsiaTheme="minorEastAsia"/>
          <w:i/>
          <w:lang w:eastAsia="ja-JP"/>
        </w:rPr>
        <w:t>s.l.</w:t>
      </w:r>
      <w:r w:rsidRPr="007D2212">
        <w:rPr>
          <w:rFonts w:eastAsiaTheme="minorEastAsia"/>
          <w:lang w:eastAsia="ja-JP"/>
        </w:rPr>
        <w:t xml:space="preserve"> </w:t>
      </w:r>
      <w:r w:rsidRPr="007D2212">
        <w:t>cannot exclude those as a possible identification.</w:t>
      </w:r>
    </w:p>
    <w:p w14:paraId="7BD4870A" w14:textId="77777777" w:rsidR="00612969" w:rsidRPr="007D2212" w:rsidRDefault="00E97743">
      <w:pPr>
        <w:pStyle w:val="IPPHeading2"/>
      </w:pPr>
      <w:r w:rsidRPr="007D2212">
        <w:rPr>
          <w:rStyle w:val="PleaseReviewParagraphId"/>
          <w:b w:val="0"/>
        </w:rPr>
        <w:t>[443]</w:t>
      </w:r>
      <w:r w:rsidRPr="007D2212">
        <w:t>4.4</w:t>
      </w:r>
      <w:r w:rsidRPr="007D2212">
        <w:tab/>
        <w:t>Other molecular methods of identification</w:t>
      </w:r>
    </w:p>
    <w:p w14:paraId="234D74F5" w14:textId="73D35EEB" w:rsidR="00612969" w:rsidRPr="007D2212" w:rsidRDefault="00E97743">
      <w:pPr>
        <w:pStyle w:val="IPPNormal"/>
      </w:pPr>
      <w:r w:rsidRPr="007D2212">
        <w:rPr>
          <w:rStyle w:val="PleaseReviewParagraphId"/>
        </w:rPr>
        <w:t>[444]</w:t>
      </w:r>
      <w:r w:rsidRPr="007D2212">
        <w:t xml:space="preserve">Plant Health Australia (2016) has compiled a resource for identification of </w:t>
      </w:r>
      <w:r w:rsidRPr="007D2212">
        <w:rPr>
          <w:i/>
        </w:rPr>
        <w:t>Bactrocera</w:t>
      </w:r>
      <w:r w:rsidRPr="007D2212">
        <w:rPr>
          <w:rFonts w:eastAsiaTheme="minorEastAsia"/>
          <w:i/>
          <w:lang w:eastAsia="ja-JP"/>
        </w:rPr>
        <w:t xml:space="preserve"> </w:t>
      </w:r>
      <w:r w:rsidRPr="007D2212">
        <w:t xml:space="preserve">species using DNA methods. That resource summarizes three molecular options for identification: conventional PCR and restriction fragment length polymorphism (RFLP) of the ITS1 region (Plant Health Australia, 2016), PCR-RFLP analysis of a segment of </w:t>
      </w:r>
      <w:r w:rsidR="00BB4695">
        <w:t>ribosomal</w:t>
      </w:r>
      <w:r w:rsidR="00B37491">
        <w:t xml:space="preserve"> </w:t>
      </w:r>
      <w:r w:rsidR="004811D6">
        <w:t>DNA</w:t>
      </w:r>
      <w:r w:rsidR="004F7E07">
        <w:t xml:space="preserve"> </w:t>
      </w:r>
      <w:r w:rsidRPr="007D2212">
        <w:t xml:space="preserve">array including the ITS1 and 18S gene regions (Armstrong </w:t>
      </w:r>
      <w:r w:rsidRPr="007D2212">
        <w:rPr>
          <w:i/>
        </w:rPr>
        <w:t>et</w:t>
      </w:r>
      <w:r w:rsidR="00612E2D">
        <w:rPr>
          <w:i/>
        </w:rPr>
        <w:t> </w:t>
      </w:r>
      <w:r w:rsidRPr="007D2212">
        <w:rPr>
          <w:i/>
        </w:rPr>
        <w:t>al</w:t>
      </w:r>
      <w:r w:rsidRPr="007D2212">
        <w:t xml:space="preserve">., 1997; Armstrong and Cameron, 2000), and DNA barcoding of the </w:t>
      </w:r>
      <w:r w:rsidRPr="007D2212">
        <w:rPr>
          <w:i/>
        </w:rPr>
        <w:t>cytochrome oxidase subunit I</w:t>
      </w:r>
      <w:r w:rsidRPr="007D2212">
        <w:t xml:space="preserve"> (</w:t>
      </w:r>
      <w:r w:rsidRPr="007D2212">
        <w:rPr>
          <w:i/>
        </w:rPr>
        <w:t>COI</w:t>
      </w:r>
      <w:r w:rsidRPr="007D2212">
        <w:t xml:space="preserve">) gene (Armstrong and Ball, 2005) based on the Barcode of Life Data Systems resource (Ratnasingham and Hebert, 2007). The species </w:t>
      </w:r>
      <w:r w:rsidRPr="007D2212">
        <w:rPr>
          <w:i/>
        </w:rPr>
        <w:t>B.</w:t>
      </w:r>
      <w:r w:rsidRPr="007D2212">
        <w:rPr>
          <w:i/>
          <w:szCs w:val="22"/>
        </w:rPr>
        <w:t> </w:t>
      </w:r>
      <w:r w:rsidRPr="007D2212">
        <w:rPr>
          <w:i/>
        </w:rPr>
        <w:t>caryeae</w:t>
      </w:r>
      <w:r w:rsidRPr="007D2212">
        <w:t xml:space="preserve">, </w:t>
      </w:r>
      <w:r w:rsidRPr="007D2212">
        <w:rPr>
          <w:i/>
        </w:rPr>
        <w:t>B.</w:t>
      </w:r>
      <w:r w:rsidRPr="007D2212">
        <w:rPr>
          <w:i/>
          <w:szCs w:val="22"/>
        </w:rPr>
        <w:t> </w:t>
      </w:r>
      <w:r w:rsidRPr="007D2212">
        <w:rPr>
          <w:i/>
        </w:rPr>
        <w:t>kandiensis</w:t>
      </w:r>
      <w:r w:rsidRPr="007D2212">
        <w:t xml:space="preserve">, </w:t>
      </w:r>
      <w:r w:rsidRPr="007D2212">
        <w:rPr>
          <w:i/>
        </w:rPr>
        <w:t>B.</w:t>
      </w:r>
      <w:r w:rsidRPr="007D2212">
        <w:rPr>
          <w:i/>
          <w:szCs w:val="22"/>
        </w:rPr>
        <w:t> </w:t>
      </w:r>
      <w:r w:rsidRPr="007D2212">
        <w:rPr>
          <w:i/>
        </w:rPr>
        <w:t>occipitalis</w:t>
      </w:r>
      <w:r w:rsidRPr="007D2212">
        <w:t xml:space="preserve"> and </w:t>
      </w:r>
      <w:r w:rsidRPr="007D2212">
        <w:rPr>
          <w:i/>
        </w:rPr>
        <w:t>B.</w:t>
      </w:r>
      <w:r w:rsidRPr="007D2212">
        <w:rPr>
          <w:i/>
          <w:szCs w:val="22"/>
        </w:rPr>
        <w:t> </w:t>
      </w:r>
      <w:r w:rsidRPr="007D2212">
        <w:rPr>
          <w:i/>
        </w:rPr>
        <w:t>pyrifoliae</w:t>
      </w:r>
      <w:r w:rsidRPr="007D2212">
        <w:t xml:space="preserve"> do not have molecular profiles available for either of the PCR-RFLP </w:t>
      </w:r>
      <w:r w:rsidR="00C75F54">
        <w:t>methods</w:t>
      </w:r>
      <w:r w:rsidRPr="007D2212">
        <w:t xml:space="preserve"> described in the Plant Health Australia resource, precluding their use as a diagnostic test for the</w:t>
      </w:r>
      <w:r w:rsidR="008E2B42">
        <w:t>se</w:t>
      </w:r>
      <w:r w:rsidRPr="007D2212">
        <w:t xml:space="preserve"> pests. </w:t>
      </w:r>
    </w:p>
    <w:p w14:paraId="6D8CAB40" w14:textId="58658CAA" w:rsidR="00612969" w:rsidRPr="007D2212" w:rsidRDefault="00E97743">
      <w:pPr>
        <w:pStyle w:val="IPPNormal"/>
      </w:pPr>
      <w:r w:rsidRPr="007D2212">
        <w:rPr>
          <w:rStyle w:val="PleaseReviewParagraphId"/>
        </w:rPr>
        <w:t>[445]</w:t>
      </w:r>
      <w:r w:rsidRPr="007D2212">
        <w:t xml:space="preserve">DNA barcode records </w:t>
      </w:r>
      <w:r w:rsidR="00FC79D8" w:rsidRPr="007D2212">
        <w:t xml:space="preserve">of </w:t>
      </w:r>
      <w:r w:rsidR="008E2B42">
        <w:t xml:space="preserve">the </w:t>
      </w:r>
      <w:r w:rsidR="00FC79D8" w:rsidRPr="007D2212">
        <w:rPr>
          <w:i/>
        </w:rPr>
        <w:t>COI</w:t>
      </w:r>
      <w:r w:rsidR="00FC79D8" w:rsidRPr="007D2212">
        <w:t xml:space="preserve"> gene </w:t>
      </w:r>
      <w:r w:rsidRPr="007D2212">
        <w:t xml:space="preserve">are not available for </w:t>
      </w:r>
      <w:r w:rsidRPr="007D2212">
        <w:rPr>
          <w:i/>
        </w:rPr>
        <w:t>B.</w:t>
      </w:r>
      <w:r w:rsidRPr="007D2212">
        <w:rPr>
          <w:i/>
          <w:szCs w:val="22"/>
        </w:rPr>
        <w:t> </w:t>
      </w:r>
      <w:r w:rsidRPr="007D2212">
        <w:rPr>
          <w:i/>
        </w:rPr>
        <w:t>pyrifoliae</w:t>
      </w:r>
      <w:r w:rsidR="00FC79D8" w:rsidRPr="007D2212">
        <w:t>, and cannot distinguish</w:t>
      </w:r>
      <w:r w:rsidRPr="007D2212">
        <w:t xml:space="preserve"> the other five species </w:t>
      </w:r>
      <w:r w:rsidR="00FC79D8" w:rsidRPr="007D2212">
        <w:t xml:space="preserve">from each other </w:t>
      </w:r>
      <w:r w:rsidRPr="007D2212">
        <w:t xml:space="preserve">(Armstrong and Ball, 2005). The work by Leblanc </w:t>
      </w:r>
      <w:r w:rsidRPr="007D2212">
        <w:rPr>
          <w:i/>
        </w:rPr>
        <w:t>et al</w:t>
      </w:r>
      <w:r w:rsidRPr="007D2212">
        <w:t xml:space="preserve">. (2015) demonstrates that this complex is not a monophyletic group and a molecular </w:t>
      </w:r>
      <w:r w:rsidR="000D5A4E" w:rsidRPr="007D2212">
        <w:t xml:space="preserve">identification </w:t>
      </w:r>
      <w:r w:rsidRPr="007D2212">
        <w:t>of the complex is not possible</w:t>
      </w:r>
      <w:r w:rsidR="009C0AD4" w:rsidRPr="007D2212">
        <w:t xml:space="preserve"> using </w:t>
      </w:r>
      <w:r w:rsidR="009C0AD4" w:rsidRPr="007D2212">
        <w:rPr>
          <w:i/>
        </w:rPr>
        <w:t>COI</w:t>
      </w:r>
      <w:r w:rsidR="009C0AD4" w:rsidRPr="007D2212">
        <w:t xml:space="preserve"> sequence data</w:t>
      </w:r>
      <w:r w:rsidRPr="007D2212">
        <w:t>.</w:t>
      </w:r>
    </w:p>
    <w:p w14:paraId="4892A4B2" w14:textId="77777777" w:rsidR="00612969" w:rsidRPr="007D2212" w:rsidRDefault="00E97743">
      <w:pPr>
        <w:pStyle w:val="IPPHeading1"/>
      </w:pPr>
      <w:r w:rsidRPr="007D2212">
        <w:rPr>
          <w:rStyle w:val="PleaseReviewParagraphId"/>
          <w:b w:val="0"/>
        </w:rPr>
        <w:t>[446]</w:t>
      </w:r>
      <w:r w:rsidRPr="007D2212">
        <w:t>5.</w:t>
      </w:r>
      <w:r w:rsidRPr="007D2212">
        <w:tab/>
        <w:t>Records</w:t>
      </w:r>
    </w:p>
    <w:p w14:paraId="3CC5109D" w14:textId="44768F85" w:rsidR="00612969" w:rsidRPr="007D2212" w:rsidRDefault="00E97743">
      <w:pPr>
        <w:pStyle w:val="IPPNormal"/>
      </w:pPr>
      <w:r w:rsidRPr="007D2212">
        <w:rPr>
          <w:rStyle w:val="PleaseReviewParagraphId"/>
        </w:rPr>
        <w:t>[447]</w:t>
      </w:r>
      <w:r w:rsidRPr="007D2212">
        <w:t>Records and evidence should be retained as described in section 2.5 of ISPM 27</w:t>
      </w:r>
      <w:r w:rsidR="005E467D" w:rsidRPr="007D2212">
        <w:t xml:space="preserve"> (</w:t>
      </w:r>
      <w:r w:rsidR="005E467D" w:rsidRPr="007D2212">
        <w:rPr>
          <w:i/>
        </w:rPr>
        <w:t>Diagnostic protocols for regulated pests</w:t>
      </w:r>
      <w:r w:rsidR="005E467D" w:rsidRPr="007D2212">
        <w:t>)</w:t>
      </w:r>
      <w:r w:rsidRPr="007D2212">
        <w:t>.</w:t>
      </w:r>
    </w:p>
    <w:p w14:paraId="6F1B299B" w14:textId="4AD22F99" w:rsidR="00612969" w:rsidRPr="007D2212" w:rsidRDefault="00E97743">
      <w:pPr>
        <w:pStyle w:val="IPPNormal"/>
      </w:pPr>
      <w:r w:rsidRPr="007D2212">
        <w:rPr>
          <w:rStyle w:val="PleaseReviewParagraphId"/>
        </w:rPr>
        <w:t>[448]</w:t>
      </w:r>
      <w:r w:rsidRPr="007D2212">
        <w:t xml:space="preserve">In cases where other contracting parties may be adversely affected by the diagnosis, records and evidence (in particular, preserved or slide-mounted specimens, photographs of distinctive taxonomic structures, </w:t>
      </w:r>
      <w:smartTag w:uri="urn:schemas-microsoft-com:office:smarttags" w:element="stockticker">
        <w:r w:rsidRPr="007D2212">
          <w:t>DNA</w:t>
        </w:r>
      </w:smartTag>
      <w:r w:rsidRPr="007D2212">
        <w:t xml:space="preserve"> extracts and photographs of gels, as appropriate) should be kept for at least one year</w:t>
      </w:r>
      <w:r w:rsidR="005E467D">
        <w:t xml:space="preserve"> in a manner that ensures traceability</w:t>
      </w:r>
      <w:r w:rsidRPr="007D2212">
        <w:t>.</w:t>
      </w:r>
    </w:p>
    <w:p w14:paraId="0017FF98" w14:textId="6892B1A9" w:rsidR="00612969" w:rsidRPr="007D2212" w:rsidRDefault="00E97743">
      <w:pPr>
        <w:pStyle w:val="IPPHeading1"/>
      </w:pPr>
      <w:r w:rsidRPr="007D2212">
        <w:rPr>
          <w:rStyle w:val="PleaseReviewParagraphId"/>
          <w:b w:val="0"/>
        </w:rPr>
        <w:t>[449]</w:t>
      </w:r>
      <w:r w:rsidRPr="007D2212">
        <w:t>6.</w:t>
      </w:r>
      <w:r w:rsidRPr="007D2212">
        <w:tab/>
        <w:t xml:space="preserve">Contact </w:t>
      </w:r>
      <w:r w:rsidR="00AF1B3C">
        <w:t>P</w:t>
      </w:r>
      <w:r w:rsidRPr="007D2212">
        <w:t xml:space="preserve">oints for </w:t>
      </w:r>
      <w:r w:rsidR="00AF1B3C">
        <w:t>F</w:t>
      </w:r>
      <w:r w:rsidRPr="007D2212">
        <w:t xml:space="preserve">urther </w:t>
      </w:r>
      <w:r w:rsidR="00AF1B3C">
        <w:t>I</w:t>
      </w:r>
      <w:r w:rsidRPr="007D2212">
        <w:t>nformation</w:t>
      </w:r>
    </w:p>
    <w:p w14:paraId="33B52D6E" w14:textId="77777777" w:rsidR="00612969" w:rsidRPr="007D2212" w:rsidRDefault="00E97743">
      <w:pPr>
        <w:pStyle w:val="IPPNormal"/>
      </w:pPr>
      <w:r w:rsidRPr="007D2212">
        <w:rPr>
          <w:rStyle w:val="PleaseReviewParagraphId"/>
        </w:rPr>
        <w:t>[450]</w:t>
      </w:r>
      <w:r w:rsidRPr="007D2212">
        <w:t>Further information on this protocol can be obtained from:</w:t>
      </w:r>
    </w:p>
    <w:p w14:paraId="489CAC2E" w14:textId="5EB6997A" w:rsidR="00612969" w:rsidRPr="007D2212" w:rsidRDefault="00E97743">
      <w:pPr>
        <w:pStyle w:val="IPPNormal"/>
      </w:pPr>
      <w:r w:rsidRPr="007D2212">
        <w:rPr>
          <w:rStyle w:val="PleaseReviewParagraphId"/>
        </w:rPr>
        <w:t>[451]</w:t>
      </w:r>
      <w:r w:rsidRPr="007D2212">
        <w:t>Pest Identification and Diagnostics Section, Yokohama Plant Protection Station, Ministry of Agriculture, Forestry and Fisheries, Japan (Kenji</w:t>
      </w:r>
      <w:r w:rsidRPr="007D2212">
        <w:rPr>
          <w:rFonts w:eastAsiaTheme="minorEastAsia"/>
          <w:lang w:eastAsia="ja-JP"/>
        </w:rPr>
        <w:t xml:space="preserve"> </w:t>
      </w:r>
      <w:r w:rsidRPr="007D2212">
        <w:t>Tsuruta; e</w:t>
      </w:r>
      <w:r w:rsidRPr="007D2212">
        <w:noBreakHyphen/>
        <w:t>mail:</w:t>
      </w:r>
      <w:r w:rsidR="00CE0615">
        <w:t xml:space="preserve"> </w:t>
      </w:r>
      <w:hyperlink r:id="rId15" w:history="1">
        <w:r w:rsidRPr="007D2212">
          <w:rPr>
            <w:rStyle w:val="Hyperlink"/>
            <w:szCs w:val="22"/>
          </w:rPr>
          <w:t>tsurutak@pps.maff.go.jp</w:t>
        </w:r>
      </w:hyperlink>
      <w:r w:rsidRPr="007D2212">
        <w:t>; tel.:</w:t>
      </w:r>
      <w:r w:rsidRPr="007D2212">
        <w:rPr>
          <w:rFonts w:eastAsiaTheme="minorEastAsia"/>
          <w:lang w:eastAsia="ja-JP"/>
        </w:rPr>
        <w:t xml:space="preserve"> </w:t>
      </w:r>
      <w:r w:rsidRPr="007D2212">
        <w:rPr>
          <w:rFonts w:eastAsia="MS UI Gothic"/>
          <w:color w:val="000000"/>
        </w:rPr>
        <w:t>+81-45-622-8940</w:t>
      </w:r>
      <w:r w:rsidRPr="007D2212">
        <w:t xml:space="preserve">; fax: </w:t>
      </w:r>
      <w:r w:rsidRPr="007D2212">
        <w:rPr>
          <w:rFonts w:eastAsia="MS UI Gothic"/>
          <w:color w:val="000000"/>
        </w:rPr>
        <w:t>+81-45-621-7560</w:t>
      </w:r>
      <w:r w:rsidRPr="007D2212">
        <w:t>).</w:t>
      </w:r>
    </w:p>
    <w:p w14:paraId="3D86324F" w14:textId="1E2ACB8B" w:rsidR="00612969" w:rsidRPr="007D2212" w:rsidRDefault="00E97743">
      <w:pPr>
        <w:pStyle w:val="IPPNormal"/>
        <w:rPr>
          <w:bCs/>
          <w:color w:val="000000" w:themeColor="text1"/>
        </w:rPr>
      </w:pPr>
      <w:r w:rsidRPr="007D2212">
        <w:rPr>
          <w:rStyle w:val="PleaseReviewParagraphId"/>
        </w:rPr>
        <w:t>[452]</w:t>
      </w:r>
      <w:r w:rsidRPr="007D2212">
        <w:t>Regional R&amp;D Training Center for Insect Biotechnology (RCIB), Department of Biotechnology, Mahidol University, 272 Rama VI Road, Ratchathewee, Bangkok 10400, Thailand</w:t>
      </w:r>
      <w:r w:rsidRPr="007D2212">
        <w:rPr>
          <w:rFonts w:eastAsiaTheme="minorEastAsia"/>
          <w:lang w:eastAsia="ja-JP"/>
        </w:rPr>
        <w:t xml:space="preserve"> </w:t>
      </w:r>
      <w:r w:rsidRPr="007D2212">
        <w:rPr>
          <w:bCs/>
          <w:color w:val="000000"/>
        </w:rPr>
        <w:t>(Sujinda Thanaphum;</w:t>
      </w:r>
      <w:r w:rsidRPr="007D2212">
        <w:rPr>
          <w:rFonts w:eastAsiaTheme="minorEastAsia"/>
          <w:bCs/>
          <w:color w:val="000000"/>
          <w:lang w:eastAsia="ja-JP"/>
        </w:rPr>
        <w:t xml:space="preserve"> </w:t>
      </w:r>
      <w:r w:rsidRPr="007D2212">
        <w:rPr>
          <w:color w:val="000000" w:themeColor="text1"/>
        </w:rPr>
        <w:t>e-mail</w:t>
      </w:r>
      <w:r w:rsidRPr="007D2212">
        <w:rPr>
          <w:color w:val="000000"/>
        </w:rPr>
        <w:t>:</w:t>
      </w:r>
      <w:r w:rsidR="00CE0615">
        <w:rPr>
          <w:color w:val="000000"/>
        </w:rPr>
        <w:t xml:space="preserve"> </w:t>
      </w:r>
      <w:hyperlink r:id="rId16" w:history="1">
        <w:r w:rsidRPr="007D2212">
          <w:rPr>
            <w:rStyle w:val="Hyperlink"/>
            <w:szCs w:val="22"/>
          </w:rPr>
          <w:t>sujinda.tha@mahidol.ac.th</w:t>
        </w:r>
      </w:hyperlink>
      <w:r w:rsidRPr="007D2212">
        <w:rPr>
          <w:color w:val="000000" w:themeColor="text1"/>
        </w:rPr>
        <w:t>; t</w:t>
      </w:r>
      <w:r w:rsidRPr="007D2212">
        <w:rPr>
          <w:color w:val="000000"/>
        </w:rPr>
        <w:t>el.</w:t>
      </w:r>
      <w:r w:rsidRPr="007D2212">
        <w:rPr>
          <w:color w:val="000000" w:themeColor="text1"/>
        </w:rPr>
        <w:t xml:space="preserve">: </w:t>
      </w:r>
      <w:r w:rsidRPr="007D2212">
        <w:t>+66814333963</w:t>
      </w:r>
      <w:r w:rsidRPr="007D2212">
        <w:rPr>
          <w:color w:val="000000" w:themeColor="text1"/>
        </w:rPr>
        <w:t xml:space="preserve">; fax: </w:t>
      </w:r>
      <w:r w:rsidRPr="007D2212">
        <w:t>+6623547160</w:t>
      </w:r>
      <w:r w:rsidRPr="007D2212">
        <w:rPr>
          <w:color w:val="000000" w:themeColor="text1"/>
        </w:rPr>
        <w:t>).</w:t>
      </w:r>
    </w:p>
    <w:p w14:paraId="6044D31E" w14:textId="6ACF4E63" w:rsidR="00612969" w:rsidRPr="007D2212" w:rsidRDefault="00E97743">
      <w:pPr>
        <w:pStyle w:val="IPPNormal"/>
        <w:rPr>
          <w:bCs/>
        </w:rPr>
      </w:pPr>
      <w:r w:rsidRPr="007D2212">
        <w:rPr>
          <w:rStyle w:val="PleaseReviewParagraphId"/>
        </w:rPr>
        <w:lastRenderedPageBreak/>
        <w:t>[453]</w:t>
      </w:r>
      <w:r w:rsidRPr="007D2212">
        <w:t>William F. Barr Entomological Museum, Department of Plant, Soil and Entomological Sciences, University of Idaho, 875 Perimeter Drive MS 2339, Moscow, I</w:t>
      </w:r>
      <w:r w:rsidR="00A467BE">
        <w:t>D</w:t>
      </w:r>
      <w:r w:rsidRPr="007D2212">
        <w:t xml:space="preserve"> 83844-2339, United States of America</w:t>
      </w:r>
      <w:r w:rsidRPr="007D2212">
        <w:rPr>
          <w:bCs/>
        </w:rPr>
        <w:t xml:space="preserve"> (Luc Leblanc; </w:t>
      </w:r>
      <w:r w:rsidRPr="007D2212">
        <w:t xml:space="preserve">e-mail: </w:t>
      </w:r>
      <w:hyperlink r:id="rId17" w:history="1">
        <w:r w:rsidRPr="007D2212">
          <w:rPr>
            <w:rStyle w:val="Hyperlink"/>
            <w:rFonts w:eastAsia="MS UI Gothic"/>
            <w:szCs w:val="22"/>
          </w:rPr>
          <w:t>leblancl@uidaho.edu</w:t>
        </w:r>
      </w:hyperlink>
      <w:r w:rsidRPr="007D2212">
        <w:t>; tel.: +1 208-885-6274; fax: +1 208-885-7760).</w:t>
      </w:r>
    </w:p>
    <w:p w14:paraId="4B641E9C" w14:textId="77777777" w:rsidR="00612969" w:rsidRPr="007D2212" w:rsidRDefault="00E97743">
      <w:pPr>
        <w:pStyle w:val="IPPNormal"/>
        <w:rPr>
          <w:bCs/>
          <w:szCs w:val="22"/>
        </w:rPr>
      </w:pPr>
      <w:r w:rsidRPr="007D2212">
        <w:rPr>
          <w:rStyle w:val="PleaseReviewParagraphId"/>
        </w:rPr>
        <w:t>[454]</w:t>
      </w:r>
      <w:r w:rsidRPr="007D2212">
        <w:t>A request for a revision to a diagnostic protocol may be submitted by national plant protection organizations (NPPOs), regional plant protection organizations (RPPOs) or Commission on Phytosanitary Measures (CPM) subsidiary bodies through the IPPC Secretariat (</w:t>
      </w:r>
      <w:hyperlink r:id="rId18" w:history="1">
        <w:r w:rsidRPr="007D2212">
          <w:rPr>
            <w:rStyle w:val="Hyperlink"/>
          </w:rPr>
          <w:t>ippc@fao.org</w:t>
        </w:r>
      </w:hyperlink>
      <w:r w:rsidRPr="007D2212">
        <w:t>), which will in turn forward it to the Technical Panel on Diagnostic Protocols (TPDP).</w:t>
      </w:r>
    </w:p>
    <w:p w14:paraId="5AF7120C" w14:textId="77777777" w:rsidR="00612969" w:rsidRPr="007D2212" w:rsidRDefault="00E97743">
      <w:pPr>
        <w:pStyle w:val="IPPHeading1"/>
      </w:pPr>
      <w:r w:rsidRPr="007D2212">
        <w:rPr>
          <w:rStyle w:val="PleaseReviewParagraphId"/>
          <w:b w:val="0"/>
        </w:rPr>
        <w:t>[455]</w:t>
      </w:r>
      <w:r w:rsidRPr="007D2212">
        <w:t>7.</w:t>
      </w:r>
      <w:r w:rsidRPr="007D2212">
        <w:tab/>
        <w:t>Acknowledgements</w:t>
      </w:r>
    </w:p>
    <w:p w14:paraId="537C4C39" w14:textId="4D6D0A68" w:rsidR="00612969" w:rsidRPr="007D2212" w:rsidRDefault="00E97743">
      <w:pPr>
        <w:pStyle w:val="IPPNormal"/>
      </w:pPr>
      <w:r w:rsidRPr="007D2212">
        <w:rPr>
          <w:rStyle w:val="PleaseReviewParagraphId"/>
        </w:rPr>
        <w:t>[456]</w:t>
      </w:r>
      <w:r w:rsidRPr="007D2212">
        <w:t xml:space="preserve">The </w:t>
      </w:r>
      <w:r w:rsidR="00FE5553">
        <w:t>first</w:t>
      </w:r>
      <w:r w:rsidRPr="007D2212">
        <w:t xml:space="preserve"> draft of this protocol was written by </w:t>
      </w:r>
      <w:r w:rsidRPr="007D2212">
        <w:rPr>
          <w:lang w:eastAsia="ja-JP"/>
        </w:rPr>
        <w:t>Kenji</w:t>
      </w:r>
      <w:r w:rsidRPr="007D2212">
        <w:rPr>
          <w:rFonts w:eastAsiaTheme="minorEastAsia"/>
          <w:lang w:eastAsia="ja-JP"/>
        </w:rPr>
        <w:t xml:space="preserve"> </w:t>
      </w:r>
      <w:r w:rsidRPr="007D2212">
        <w:rPr>
          <w:lang w:eastAsia="ja-JP"/>
        </w:rPr>
        <w:t>Tsuruta (</w:t>
      </w:r>
      <w:r w:rsidRPr="007D2212">
        <w:t>Ministry of Agriculture, Forestry and Fisheries, Japan (see preceding section)</w:t>
      </w:r>
      <w:r w:rsidRPr="007D2212">
        <w:rPr>
          <w:lang w:eastAsia="ja-JP"/>
        </w:rPr>
        <w:t>), Sujinda</w:t>
      </w:r>
      <w:r w:rsidRPr="007D2212">
        <w:rPr>
          <w:rFonts w:eastAsiaTheme="minorEastAsia"/>
          <w:lang w:eastAsia="ja-JP"/>
        </w:rPr>
        <w:t xml:space="preserve"> </w:t>
      </w:r>
      <w:r w:rsidRPr="007D2212">
        <w:rPr>
          <w:lang w:eastAsia="ja-JP"/>
        </w:rPr>
        <w:t>Thanaphum (</w:t>
      </w:r>
      <w:r w:rsidRPr="007D2212">
        <w:t>Mahidol University, Thailand (see preceding section)</w:t>
      </w:r>
      <w:r w:rsidRPr="007D2212">
        <w:rPr>
          <w:lang w:eastAsia="ja-JP"/>
        </w:rPr>
        <w:t>), Luc Leblanc (</w:t>
      </w:r>
      <w:r w:rsidRPr="007D2212">
        <w:t>University of Idaho, United States of America (see preceding section)</w:t>
      </w:r>
      <w:r w:rsidRPr="007D2212">
        <w:rPr>
          <w:lang w:eastAsia="ja-JP"/>
        </w:rPr>
        <w:t>) and Norman Barr (United States Department of Agriculture, United States of America). The following experts provided comments on earlier versions that improved the quality of the protocol: Jane Royer (Queensland Department of Agriculture and Fisheries, Australia), Mark Schutze (</w:t>
      </w:r>
      <w:r w:rsidRPr="007D2212">
        <w:rPr>
          <w:color w:val="000000"/>
        </w:rPr>
        <w:t>Queensland University of Technology, Australia)</w:t>
      </w:r>
      <w:r w:rsidRPr="007D2212">
        <w:rPr>
          <w:lang w:eastAsia="ja-JP"/>
        </w:rPr>
        <w:t>, Josephine Moraa Songa (</w:t>
      </w:r>
      <w:r w:rsidRPr="007D2212">
        <w:rPr>
          <w:color w:val="000000"/>
        </w:rPr>
        <w:t>Kenya Agricultural &amp; Livestock Research Organization, Kenya</w:t>
      </w:r>
      <w:r w:rsidRPr="007D2212">
        <w:rPr>
          <w:lang w:eastAsia="ja-JP"/>
        </w:rPr>
        <w:t>), George Momanyi (Kenya Plant Health Inspectorate Service, Kenya), Sharon Reid (</w:t>
      </w:r>
      <w:r w:rsidRPr="007D2212">
        <w:rPr>
          <w:color w:val="000000"/>
        </w:rPr>
        <w:t>Fera Science Ltd., Sand Hutton, York, United Kingdom</w:t>
      </w:r>
      <w:r w:rsidRPr="007D2212">
        <w:rPr>
          <w:lang w:eastAsia="ja-JP"/>
        </w:rPr>
        <w:t xml:space="preserve">), Yuji </w:t>
      </w:r>
      <w:r w:rsidR="007161B5" w:rsidRPr="007D2212">
        <w:rPr>
          <w:lang w:eastAsia="ja-JP"/>
        </w:rPr>
        <w:t xml:space="preserve">Kitahara </w:t>
      </w:r>
      <w:r w:rsidRPr="007D2212">
        <w:rPr>
          <w:lang w:eastAsia="ja-JP"/>
        </w:rPr>
        <w:t>(</w:t>
      </w:r>
      <w:r w:rsidRPr="007D2212">
        <w:rPr>
          <w:rFonts w:eastAsia="MS UI Gothic"/>
        </w:rPr>
        <w:t>Ministry of Agriculture, Forestry and Fisheries, Japan</w:t>
      </w:r>
      <w:r w:rsidRPr="007D2212">
        <w:rPr>
          <w:lang w:eastAsia="ja-JP"/>
        </w:rPr>
        <w:t>), Eddy Dijkstra (Plant Protection Service, Netherlands) and Ken Hong Tan (</w:t>
      </w:r>
      <w:r w:rsidRPr="007D2212">
        <w:rPr>
          <w:rFonts w:eastAsiaTheme="minorEastAsia"/>
        </w:rPr>
        <w:t>Tan Hak Heng, Penang, Malaysia</w:t>
      </w:r>
      <w:r w:rsidRPr="007D2212">
        <w:rPr>
          <w:lang w:eastAsia="ja-JP"/>
        </w:rPr>
        <w:t xml:space="preserve">). </w:t>
      </w:r>
    </w:p>
    <w:p w14:paraId="6284F5D4" w14:textId="77777777" w:rsidR="00612969" w:rsidRPr="007D2212" w:rsidRDefault="00E97743">
      <w:pPr>
        <w:pStyle w:val="IPPHeading1"/>
      </w:pPr>
      <w:r w:rsidRPr="007D2212">
        <w:rPr>
          <w:rStyle w:val="PleaseReviewParagraphId"/>
          <w:b w:val="0"/>
        </w:rPr>
        <w:t>[457]</w:t>
      </w:r>
      <w:r w:rsidRPr="007D2212">
        <w:t>8.</w:t>
      </w:r>
      <w:r w:rsidRPr="007D2212">
        <w:tab/>
        <w:t>References</w:t>
      </w:r>
    </w:p>
    <w:p w14:paraId="21D7BF07" w14:textId="6B352267" w:rsidR="00612969" w:rsidRPr="007D2212" w:rsidRDefault="00E97743">
      <w:pPr>
        <w:pStyle w:val="IPPNormal"/>
        <w:rPr>
          <w:rFonts w:eastAsia="MS PGothic"/>
          <w:b/>
        </w:rPr>
      </w:pPr>
      <w:r w:rsidRPr="007D2212">
        <w:rPr>
          <w:rStyle w:val="PleaseReviewParagraphId"/>
        </w:rPr>
        <w:t>[458]</w:t>
      </w:r>
      <w:r w:rsidRPr="007D2212">
        <w:t>The present annex may refer to ISPMs. ISPMs are available on the International Phytosanitary Portal (IPP) at</w:t>
      </w:r>
      <w:r w:rsidR="00674941">
        <w:t> </w:t>
      </w:r>
      <w:hyperlink r:id="rId19" w:history="1">
        <w:r w:rsidRPr="007D2212">
          <w:rPr>
            <w:rStyle w:val="Hyperlink"/>
          </w:rPr>
          <w:t>https://www.ippc.int/core-activities/standards-setting/ispms</w:t>
        </w:r>
      </w:hyperlink>
      <w:r w:rsidRPr="007D2212">
        <w:t xml:space="preserve">. </w:t>
      </w:r>
    </w:p>
    <w:p w14:paraId="6CC8306E" w14:textId="6EBF6D5F" w:rsidR="00612969" w:rsidRPr="007D2212" w:rsidRDefault="00E97743">
      <w:pPr>
        <w:pStyle w:val="IPPNormal"/>
      </w:pPr>
      <w:r w:rsidRPr="007D2212">
        <w:rPr>
          <w:rStyle w:val="PleaseReviewParagraphId"/>
        </w:rPr>
        <w:t>[459]</w:t>
      </w:r>
      <w:r w:rsidRPr="007D2212">
        <w:rPr>
          <w:b/>
          <w:bCs/>
        </w:rPr>
        <w:t>Allwood, A.J., Chinajariyawong, A., Drew, R.A.I., Hamacek, E.L., Hancock, D.L., Hengsawad, C., Jipanin, J.C.</w:t>
      </w:r>
      <w:r w:rsidR="00583F86">
        <w:rPr>
          <w:b/>
          <w:bCs/>
        </w:rPr>
        <w:t xml:space="preserve"> </w:t>
      </w:r>
      <w:r w:rsidR="00583F86">
        <w:rPr>
          <w:b/>
          <w:bCs/>
          <w:i/>
        </w:rPr>
        <w:t>et al.</w:t>
      </w:r>
      <w:r w:rsidRPr="007D2212">
        <w:t xml:space="preserve"> 1999. Host plant records for fruit flies (Diptera: Tephritidae) in south east Asia. </w:t>
      </w:r>
      <w:r w:rsidRPr="007D2212">
        <w:rPr>
          <w:i/>
        </w:rPr>
        <w:t xml:space="preserve">The Raffles Bulletin of Zoology, Supplement </w:t>
      </w:r>
      <w:r w:rsidRPr="007D2212">
        <w:t>7</w:t>
      </w:r>
      <w:r w:rsidRPr="007D2212">
        <w:rPr>
          <w:i/>
        </w:rPr>
        <w:t xml:space="preserve">. </w:t>
      </w:r>
      <w:r w:rsidRPr="007D2212">
        <w:t>92 pp.</w:t>
      </w:r>
    </w:p>
    <w:p w14:paraId="56F6D156" w14:textId="77777777" w:rsidR="00612969" w:rsidRPr="007D2212" w:rsidRDefault="00E97743">
      <w:pPr>
        <w:pStyle w:val="IPPNormal"/>
      </w:pPr>
      <w:r w:rsidRPr="007D2212">
        <w:rPr>
          <w:rStyle w:val="PleaseReviewParagraphId"/>
        </w:rPr>
        <w:t>[460]</w:t>
      </w:r>
      <w:r w:rsidRPr="007D2212">
        <w:rPr>
          <w:b/>
        </w:rPr>
        <w:t>Armstrong, K.F. &amp; Ball, S.L.</w:t>
      </w:r>
      <w:r w:rsidRPr="007D2212">
        <w:t xml:space="preserve"> 2005. DNA barcodes for biosecurity: Invasive species identification. </w:t>
      </w:r>
      <w:r w:rsidRPr="007D2212">
        <w:rPr>
          <w:i/>
        </w:rPr>
        <w:t>Philosophical Transactions of the Royal Society B</w:t>
      </w:r>
      <w:r w:rsidRPr="007D2212">
        <w:t>, 360: 1813–1823.</w:t>
      </w:r>
    </w:p>
    <w:p w14:paraId="62A4E480" w14:textId="77777777" w:rsidR="002A7DC7" w:rsidRPr="007D2212" w:rsidRDefault="002A7DC7" w:rsidP="002A7DC7">
      <w:pPr>
        <w:pStyle w:val="IPPNormal"/>
      </w:pPr>
      <w:r w:rsidRPr="007D2212">
        <w:rPr>
          <w:rStyle w:val="PleaseReviewParagraphId"/>
        </w:rPr>
        <w:t>[462]</w:t>
      </w:r>
      <w:r w:rsidRPr="007D2212">
        <w:rPr>
          <w:b/>
        </w:rPr>
        <w:t>Armstrong, K.F. &amp; Cameron, C.M.</w:t>
      </w:r>
      <w:r w:rsidRPr="007D2212">
        <w:t xml:space="preserve"> 2000. Species identification of tephritids across a broad taxonomic range. In: K.H. Tan, ed. </w:t>
      </w:r>
      <w:r w:rsidRPr="007D2212">
        <w:rPr>
          <w:i/>
        </w:rPr>
        <w:t>Area-wide control of fruit flies and other insect pests</w:t>
      </w:r>
      <w:r w:rsidRPr="007D2212">
        <w:t>, pp. 703–710. Penang, Malaysia, CABI Publishing.</w:t>
      </w:r>
    </w:p>
    <w:p w14:paraId="55C9C74D" w14:textId="04ABF0C7" w:rsidR="00612969" w:rsidRPr="007D2212" w:rsidRDefault="00E97743" w:rsidP="002A7DC7">
      <w:pPr>
        <w:pStyle w:val="IPPNormal"/>
      </w:pPr>
      <w:r w:rsidRPr="007D2212">
        <w:rPr>
          <w:rStyle w:val="PleaseReviewParagraphId"/>
        </w:rPr>
        <w:t>[461]</w:t>
      </w:r>
      <w:r w:rsidRPr="007D2212">
        <w:rPr>
          <w:b/>
        </w:rPr>
        <w:t xml:space="preserve">Armstrong, K.F., Cameron, C.M. &amp; Frampton, E.R. </w:t>
      </w:r>
      <w:r w:rsidRPr="007D2212">
        <w:t xml:space="preserve">1997. Fruit fly (Diptera: Tephritidae) species identification: A rapid molecular diagnostic technique for quarantine application. </w:t>
      </w:r>
      <w:r w:rsidRPr="007D2212">
        <w:rPr>
          <w:i/>
        </w:rPr>
        <w:t>Bulletin of Entomological Research</w:t>
      </w:r>
      <w:r w:rsidRPr="007D2212">
        <w:t>, 87: 111–118.</w:t>
      </w:r>
    </w:p>
    <w:p w14:paraId="61ACE9B8" w14:textId="4E9C70EC" w:rsidR="00612969" w:rsidRPr="007D2212" w:rsidRDefault="002A7DC7">
      <w:pPr>
        <w:pStyle w:val="IPPNormal"/>
      </w:pPr>
      <w:r w:rsidRPr="007D2212">
        <w:rPr>
          <w:rStyle w:val="PleaseReviewParagraphId"/>
        </w:rPr>
        <w:t xml:space="preserve"> </w:t>
      </w:r>
      <w:r w:rsidR="00E97743" w:rsidRPr="007D2212">
        <w:rPr>
          <w:rStyle w:val="PleaseReviewParagraphId"/>
        </w:rPr>
        <w:t>[463]</w:t>
      </w:r>
      <w:r w:rsidR="00E97743" w:rsidRPr="007D2212">
        <w:rPr>
          <w:b/>
        </w:rPr>
        <w:t>Ball, S.L. &amp; Armstrong, K.F.</w:t>
      </w:r>
      <w:r w:rsidR="00E97743" w:rsidRPr="007D2212">
        <w:t xml:space="preserve"> 2008. Rapid, one-step DNA extraction for insect pest identification by using DNA Barcodes. </w:t>
      </w:r>
      <w:r w:rsidR="00E97743" w:rsidRPr="007D2212">
        <w:rPr>
          <w:i/>
        </w:rPr>
        <w:t>Journal of Economic Entomology</w:t>
      </w:r>
      <w:r w:rsidR="00E97743" w:rsidRPr="007D2212">
        <w:t>, 101: 523–532.</w:t>
      </w:r>
    </w:p>
    <w:p w14:paraId="418F2517" w14:textId="40D3B8F1" w:rsidR="00612969" w:rsidRPr="007D2212" w:rsidRDefault="00E97743">
      <w:pPr>
        <w:pStyle w:val="IPPNormal"/>
      </w:pPr>
      <w:r w:rsidRPr="007D2212">
        <w:rPr>
          <w:rStyle w:val="PleaseReviewParagraphId"/>
        </w:rPr>
        <w:t>[464]</w:t>
      </w:r>
      <w:r w:rsidRPr="007D2212">
        <w:rPr>
          <w:b/>
          <w:bCs/>
        </w:rPr>
        <w:t>Boykin, L.M., Schutze, M.K., Krosch, M.N., Chomic, A., Chapman, T.A., Englezou, A., Armstrong, K.F.</w:t>
      </w:r>
      <w:r w:rsidR="00583F86">
        <w:rPr>
          <w:b/>
          <w:bCs/>
        </w:rPr>
        <w:t xml:space="preserve"> </w:t>
      </w:r>
      <w:r w:rsidR="00583F86">
        <w:rPr>
          <w:b/>
          <w:bCs/>
          <w:i/>
        </w:rPr>
        <w:t>et al.</w:t>
      </w:r>
      <w:r w:rsidRPr="007D2212">
        <w:t xml:space="preserve"> 2014. Multi-gene phylogenetic analysis of the south-east Asian pest members of the </w:t>
      </w:r>
      <w:r w:rsidRPr="007D2212">
        <w:rPr>
          <w:i/>
        </w:rPr>
        <w:t>Bactrocera dorsalis</w:t>
      </w:r>
      <w:r w:rsidRPr="007D2212">
        <w:t xml:space="preserve"> species complex (Diptera: Tephritidae) does not support current taxonomy. </w:t>
      </w:r>
      <w:r w:rsidRPr="007D2212">
        <w:rPr>
          <w:i/>
        </w:rPr>
        <w:t>Journal of Applied Entomology</w:t>
      </w:r>
      <w:r w:rsidRPr="007D2212">
        <w:t>, 138: 235–253.</w:t>
      </w:r>
    </w:p>
    <w:p w14:paraId="2B8EB6C1" w14:textId="40CA3D91" w:rsidR="00612969" w:rsidRPr="007D2212" w:rsidRDefault="00E97743">
      <w:pPr>
        <w:pStyle w:val="IPPNormal"/>
      </w:pPr>
      <w:r w:rsidRPr="007D2212">
        <w:rPr>
          <w:rStyle w:val="PleaseReviewParagraphId"/>
        </w:rPr>
        <w:t>[465]</w:t>
      </w:r>
      <w:r w:rsidRPr="007D2212">
        <w:rPr>
          <w:b/>
        </w:rPr>
        <w:t>CABI.</w:t>
      </w:r>
      <w:r w:rsidRPr="007D2212">
        <w:t xml:space="preserve"> 2016. Invasive Species Compendium. Wallingford, UK, CABI. </w:t>
      </w:r>
      <w:r w:rsidR="00ED5659">
        <w:t>URL:</w:t>
      </w:r>
      <w:r w:rsidRPr="007D2212">
        <w:t xml:space="preserve"> </w:t>
      </w:r>
      <w:hyperlink r:id="rId20" w:history="1">
        <w:r w:rsidRPr="007D2212">
          <w:rPr>
            <w:rStyle w:val="Hyperlink"/>
          </w:rPr>
          <w:t>http://www.cabi.org/isc/</w:t>
        </w:r>
      </w:hyperlink>
      <w:r w:rsidRPr="007D2212">
        <w:t xml:space="preserve"> (last accessed </w:t>
      </w:r>
      <w:r w:rsidR="00ED5659">
        <w:t>14 February 2018</w:t>
      </w:r>
      <w:r w:rsidRPr="007D2212">
        <w:t>).</w:t>
      </w:r>
    </w:p>
    <w:p w14:paraId="1D05C3F6" w14:textId="156AD0E4" w:rsidR="00612969" w:rsidRPr="007D2212" w:rsidRDefault="00E97743">
      <w:pPr>
        <w:pStyle w:val="IPPNormal"/>
      </w:pPr>
      <w:r w:rsidRPr="007D2212">
        <w:rPr>
          <w:rStyle w:val="PleaseReviewParagraphId"/>
        </w:rPr>
        <w:t>[466]</w:t>
      </w:r>
      <w:r w:rsidRPr="007D2212">
        <w:rPr>
          <w:b/>
        </w:rPr>
        <w:t>Chen, P. &amp; Hui, Y.</w:t>
      </w:r>
      <w:r w:rsidRPr="007D2212">
        <w:t xml:space="preserve"> 2007. </w:t>
      </w:r>
      <w:r w:rsidR="00BD7CA6">
        <w:t>[</w:t>
      </w:r>
      <w:r w:rsidRPr="007D2212">
        <w:t xml:space="preserve">Advances in taxonomy of </w:t>
      </w:r>
      <w:r w:rsidRPr="007D2212">
        <w:rPr>
          <w:i/>
        </w:rPr>
        <w:t>Bactrocera dorsalis</w:t>
      </w:r>
      <w:r w:rsidRPr="007D2212">
        <w:t xml:space="preserve"> complex.</w:t>
      </w:r>
      <w:r w:rsidR="00BD7CA6">
        <w:t>]</w:t>
      </w:r>
      <w:r w:rsidRPr="007D2212">
        <w:t xml:space="preserve"> </w:t>
      </w:r>
      <w:r w:rsidRPr="007D2212">
        <w:rPr>
          <w:i/>
        </w:rPr>
        <w:t>Kunchong</w:t>
      </w:r>
      <w:r w:rsidRPr="007D2212">
        <w:rPr>
          <w:rFonts w:eastAsiaTheme="minorEastAsia"/>
          <w:i/>
          <w:lang w:eastAsia="ja-JP"/>
        </w:rPr>
        <w:t xml:space="preserve"> </w:t>
      </w:r>
      <w:r w:rsidRPr="007D2212">
        <w:rPr>
          <w:i/>
        </w:rPr>
        <w:t>Zhishi</w:t>
      </w:r>
      <w:r w:rsidRPr="007D2212">
        <w:t>, 44(1): 41–47 (in Chinese).</w:t>
      </w:r>
    </w:p>
    <w:p w14:paraId="013B708A" w14:textId="77777777" w:rsidR="00612969" w:rsidRPr="007D2212" w:rsidRDefault="00E97743">
      <w:pPr>
        <w:pStyle w:val="IPPNormal"/>
      </w:pPr>
      <w:r w:rsidRPr="007D2212">
        <w:rPr>
          <w:rStyle w:val="PleaseReviewParagraphId"/>
        </w:rPr>
        <w:lastRenderedPageBreak/>
        <w:t>[467]</w:t>
      </w:r>
      <w:r w:rsidRPr="007D2212">
        <w:rPr>
          <w:b/>
        </w:rPr>
        <w:t>Clarke, A.R., Armstrong, K.F., Carmichael, A.E., Milne, J.R., Raghu, S., Roderick, G.K. &amp; Yeates, D.K.</w:t>
      </w:r>
      <w:r w:rsidRPr="007D2212">
        <w:t xml:space="preserve"> 2005. Invasive phytophagous pests arising through a recent tropical evolutionary radiation: The </w:t>
      </w:r>
      <w:r w:rsidRPr="007D2212">
        <w:rPr>
          <w:i/>
        </w:rPr>
        <w:t>Bactrocera dorsalis</w:t>
      </w:r>
      <w:r w:rsidRPr="007D2212">
        <w:t xml:space="preserve"> complex of fruit flies.</w:t>
      </w:r>
      <w:r w:rsidRPr="007D2212">
        <w:rPr>
          <w:i/>
        </w:rPr>
        <w:t xml:space="preserve"> Annual Review of Entomology</w:t>
      </w:r>
      <w:r w:rsidRPr="007D2212">
        <w:t>, 50: 293–319.</w:t>
      </w:r>
    </w:p>
    <w:p w14:paraId="60590C23" w14:textId="1F975FA3" w:rsidR="00612969" w:rsidRPr="007D2212" w:rsidRDefault="00E97743">
      <w:pPr>
        <w:pStyle w:val="IPPNormal"/>
      </w:pPr>
      <w:r w:rsidRPr="007D2212">
        <w:rPr>
          <w:rStyle w:val="PleaseReviewParagraphId"/>
        </w:rPr>
        <w:t>[468]</w:t>
      </w:r>
      <w:r w:rsidRPr="007D2212">
        <w:rPr>
          <w:b/>
        </w:rPr>
        <w:t>Clarke, A.R. &amp; Schutze, M.K.</w:t>
      </w:r>
      <w:r w:rsidRPr="007D2212">
        <w:t xml:space="preserve"> 2014.The complexities of knowing what it is you are trapping. In: T.E. Shelly, N. Epsky, E.B. Jang, J. Reyes-Flores &amp; R.I. Vargas, eds. </w:t>
      </w:r>
      <w:r w:rsidRPr="007D2212">
        <w:rPr>
          <w:i/>
        </w:rPr>
        <w:t>Trapping and the detection, control, and regulation of tephritid fruit flies</w:t>
      </w:r>
      <w:r w:rsidRPr="007D2212">
        <w:t xml:space="preserve">, pp. 611–632. New York, </w:t>
      </w:r>
      <w:r w:rsidR="008F2299">
        <w:t xml:space="preserve">NY, </w:t>
      </w:r>
      <w:r w:rsidRPr="007D2212">
        <w:t xml:space="preserve">Springer. xv + 638 pp. </w:t>
      </w:r>
    </w:p>
    <w:p w14:paraId="533388C9" w14:textId="77777777" w:rsidR="00612969" w:rsidRPr="007D2212" w:rsidRDefault="00E97743">
      <w:pPr>
        <w:pStyle w:val="IPPNormal"/>
      </w:pPr>
      <w:r w:rsidRPr="007D2212">
        <w:rPr>
          <w:rStyle w:val="PleaseReviewParagraphId"/>
        </w:rPr>
        <w:t>[469]</w:t>
      </w:r>
      <w:r w:rsidRPr="007D2212">
        <w:rPr>
          <w:b/>
        </w:rPr>
        <w:t>Delomen, M.L.C., Mendioro, M.S. &amp; Diaz, M.G.Q.</w:t>
      </w:r>
      <w:r w:rsidRPr="007D2212">
        <w:t xml:space="preserve"> 2013. Morphometric analysis and DNA barcoding of fruit flies </w:t>
      </w:r>
      <w:r w:rsidRPr="007D2212">
        <w:rPr>
          <w:i/>
        </w:rPr>
        <w:t>Bactrocera occipitalis</w:t>
      </w:r>
      <w:r w:rsidRPr="007D2212">
        <w:t xml:space="preserve"> (Bezzi) and </w:t>
      </w:r>
      <w:r w:rsidRPr="007D2212">
        <w:rPr>
          <w:i/>
        </w:rPr>
        <w:t>B. philippinensis</w:t>
      </w:r>
      <w:r w:rsidRPr="007D2212">
        <w:t xml:space="preserve"> Drew and Hancock (Diptera: Tephritidae) from Cavite and Davao del Norte. </w:t>
      </w:r>
      <w:r w:rsidRPr="007D2212">
        <w:rPr>
          <w:i/>
        </w:rPr>
        <w:t>Philippine Journal of Science</w:t>
      </w:r>
      <w:r w:rsidRPr="007D2212">
        <w:t>, 142: 69–76.</w:t>
      </w:r>
    </w:p>
    <w:p w14:paraId="7B1365CD" w14:textId="77777777" w:rsidR="00612969" w:rsidRPr="007D2212" w:rsidRDefault="00E97743">
      <w:pPr>
        <w:pStyle w:val="IPPNormal"/>
      </w:pPr>
      <w:r w:rsidRPr="007D2212">
        <w:rPr>
          <w:rStyle w:val="PleaseReviewParagraphId"/>
        </w:rPr>
        <w:t>[470]</w:t>
      </w:r>
      <w:r w:rsidRPr="007D2212">
        <w:rPr>
          <w:b/>
        </w:rPr>
        <w:t>Drew, R.A.I.</w:t>
      </w:r>
      <w:r w:rsidRPr="007D2212">
        <w:t xml:space="preserve"> 1982. Fruit fly collecting. In: R.A.I. Drew, G.H.S. Hooper &amp; M.A. Bateman, eds. </w:t>
      </w:r>
      <w:r w:rsidRPr="007D2212">
        <w:rPr>
          <w:i/>
        </w:rPr>
        <w:t>Economic fruit flies of the south Pacific region</w:t>
      </w:r>
      <w:r w:rsidRPr="007D2212">
        <w:t>, 2nd ed. Brisbane, Australia, Queensland Department of Primary Industries. 139 pp.</w:t>
      </w:r>
    </w:p>
    <w:p w14:paraId="3235610F" w14:textId="3DDC7E6A" w:rsidR="00612969" w:rsidRPr="007D2212" w:rsidRDefault="00E97743">
      <w:pPr>
        <w:pStyle w:val="IPPNormal"/>
      </w:pPr>
      <w:r w:rsidRPr="007D2212">
        <w:rPr>
          <w:rStyle w:val="PleaseReviewParagraphId"/>
        </w:rPr>
        <w:t>[471]</w:t>
      </w:r>
      <w:r w:rsidRPr="007D2212">
        <w:rPr>
          <w:b/>
          <w:lang w:eastAsia="ja-JP"/>
        </w:rPr>
        <w:t>Drew, R.A.I.</w:t>
      </w:r>
      <w:r w:rsidRPr="007D2212">
        <w:rPr>
          <w:lang w:eastAsia="ja-JP"/>
        </w:rPr>
        <w:t xml:space="preserve"> 1991. Taxonomic studies on oriental fruit fly. In: S. Vijaysegaran &amp; A.G. Ibrahim, eds. </w:t>
      </w:r>
      <w:r w:rsidRPr="007D2212">
        <w:rPr>
          <w:i/>
          <w:lang w:eastAsia="ja-JP"/>
        </w:rPr>
        <w:t>First international symposium on fruit flies in the tropics, Kuala Lumpur, 1988</w:t>
      </w:r>
      <w:r w:rsidRPr="007D2212">
        <w:rPr>
          <w:lang w:eastAsia="ja-JP"/>
        </w:rPr>
        <w:t>, pp. 63</w:t>
      </w:r>
      <w:r w:rsidR="008F2299">
        <w:rPr>
          <w:lang w:eastAsia="ja-JP"/>
        </w:rPr>
        <w:t>–</w:t>
      </w:r>
      <w:r w:rsidRPr="007D2212">
        <w:rPr>
          <w:lang w:eastAsia="ja-JP"/>
        </w:rPr>
        <w:t xml:space="preserve">66. Kuala Lumpur, Malaysian Agricultural Research and Development Institute &amp; Malaysian Plant Protection Society. </w:t>
      </w:r>
    </w:p>
    <w:p w14:paraId="44D95264" w14:textId="77777777" w:rsidR="00612969" w:rsidRPr="007D2212" w:rsidRDefault="00E97743">
      <w:pPr>
        <w:pStyle w:val="IPPNormal"/>
      </w:pPr>
      <w:r w:rsidRPr="007D2212">
        <w:rPr>
          <w:rStyle w:val="PleaseReviewParagraphId"/>
        </w:rPr>
        <w:t>[472]</w:t>
      </w:r>
      <w:r w:rsidRPr="007D2212">
        <w:rPr>
          <w:b/>
        </w:rPr>
        <w:t>Drew, R.A.I.</w:t>
      </w:r>
      <w:r w:rsidRPr="007D2212">
        <w:t xml:space="preserve"> 2004. Biogeography and speciation in the Dacini (Diptera: Tephritidae: Dacinae). In: N.L. Evenhuis &amp; K.Y. Kaneshiro, eds. D. Elmo Hardy Memorial Volume: Contributions to the Systematics and Evolution of Diptera.</w:t>
      </w:r>
      <w:r w:rsidRPr="007D2212">
        <w:rPr>
          <w:i/>
        </w:rPr>
        <w:t xml:space="preserve"> Bishop Museum Bulletin in Entomology</w:t>
      </w:r>
      <w:r w:rsidRPr="007D2212">
        <w:t>, 12: 165–178.</w:t>
      </w:r>
    </w:p>
    <w:p w14:paraId="603AAD47" w14:textId="77777777" w:rsidR="00612969" w:rsidRPr="007D2212" w:rsidRDefault="00E97743">
      <w:pPr>
        <w:pStyle w:val="IPPNormal"/>
      </w:pPr>
      <w:r w:rsidRPr="007D2212">
        <w:rPr>
          <w:rStyle w:val="PleaseReviewParagraphId"/>
        </w:rPr>
        <w:t>[473]</w:t>
      </w:r>
      <w:r w:rsidRPr="007D2212">
        <w:rPr>
          <w:b/>
        </w:rPr>
        <w:t>Drew, R.A.I. &amp; Hancock, D. L.</w:t>
      </w:r>
      <w:r w:rsidRPr="007D2212">
        <w:t xml:space="preserve"> 1994. The </w:t>
      </w:r>
      <w:r w:rsidRPr="007D2212">
        <w:rPr>
          <w:i/>
        </w:rPr>
        <w:t>Bactrocera dorsalis</w:t>
      </w:r>
      <w:r w:rsidRPr="007D2212">
        <w:t xml:space="preserve"> complex of fruit flies (Diptera: Tephritidae: Dacinae) in Asia. </w:t>
      </w:r>
      <w:r w:rsidRPr="007D2212">
        <w:rPr>
          <w:i/>
        </w:rPr>
        <w:t>Bulletin of Entomological Research, Supplement Series</w:t>
      </w:r>
      <w:r w:rsidRPr="007D2212">
        <w:t>, No. 2. 68 pp.</w:t>
      </w:r>
    </w:p>
    <w:p w14:paraId="46166CA9" w14:textId="23809EB7" w:rsidR="00943EF1" w:rsidRPr="007D2212" w:rsidRDefault="00943EF1">
      <w:pPr>
        <w:pStyle w:val="IPPNormal"/>
      </w:pPr>
      <w:r w:rsidRPr="00A4522D">
        <w:rPr>
          <w:b/>
        </w:rPr>
        <w:t>Drew, R.A.I., Raghu, S. &amp; Halcoop, P.</w:t>
      </w:r>
      <w:r w:rsidRPr="007D2212">
        <w:t xml:space="preserve"> 2008. Bridging the morphological and biological species concepts: </w:t>
      </w:r>
      <w:r w:rsidR="008F2299">
        <w:t>S</w:t>
      </w:r>
      <w:r w:rsidRPr="007D2212">
        <w:t xml:space="preserve">tudies on the </w:t>
      </w:r>
      <w:r w:rsidRPr="00A4522D">
        <w:rPr>
          <w:i/>
        </w:rPr>
        <w:t>Bactrocera dorsalis</w:t>
      </w:r>
      <w:r w:rsidRPr="007D2212">
        <w:t xml:space="preserve"> (Hendel) complex (Diptera: Tephritidae: Dacinae) in </w:t>
      </w:r>
      <w:r w:rsidR="008F2299">
        <w:t>s</w:t>
      </w:r>
      <w:r w:rsidRPr="007D2212">
        <w:t xml:space="preserve">outh-east Asia. </w:t>
      </w:r>
      <w:r w:rsidRPr="00A4522D">
        <w:rPr>
          <w:i/>
        </w:rPr>
        <w:t>Biological Journal of the Linnean Society</w:t>
      </w:r>
      <w:r w:rsidRPr="007D2212">
        <w:t>, 93: 217</w:t>
      </w:r>
      <w:r w:rsidR="00CE0615">
        <w:t>–</w:t>
      </w:r>
      <w:r w:rsidRPr="007D2212">
        <w:t>226.</w:t>
      </w:r>
    </w:p>
    <w:p w14:paraId="65537080" w14:textId="77777777" w:rsidR="00612969" w:rsidRPr="007D2212" w:rsidRDefault="00E97743">
      <w:pPr>
        <w:pStyle w:val="IPPNormal"/>
      </w:pPr>
      <w:r w:rsidRPr="007D2212">
        <w:rPr>
          <w:rStyle w:val="PleaseReviewParagraphId"/>
        </w:rPr>
        <w:t>[474]</w:t>
      </w:r>
      <w:r w:rsidRPr="007D2212">
        <w:rPr>
          <w:b/>
        </w:rPr>
        <w:t>Drew, R.A.I. &amp;</w:t>
      </w:r>
      <w:r w:rsidRPr="007D2212">
        <w:rPr>
          <w:rFonts w:eastAsiaTheme="minorEastAsia"/>
          <w:b/>
          <w:lang w:eastAsia="ja-JP"/>
        </w:rPr>
        <w:t xml:space="preserve"> </w:t>
      </w:r>
      <w:r w:rsidRPr="007D2212">
        <w:rPr>
          <w:b/>
        </w:rPr>
        <w:t>Romig, M.C.</w:t>
      </w:r>
      <w:r w:rsidRPr="007D2212">
        <w:t xml:space="preserve"> 2010. </w:t>
      </w:r>
      <w:r w:rsidRPr="007D2212">
        <w:rPr>
          <w:i/>
        </w:rPr>
        <w:t>Fruit flies</w:t>
      </w:r>
      <w:r w:rsidRPr="007D2212">
        <w:t>. Brisbane, Australia, Griffith University. 225 pp.</w:t>
      </w:r>
    </w:p>
    <w:p w14:paraId="4D0FC7EC" w14:textId="77777777" w:rsidR="00612969" w:rsidRPr="007D2212" w:rsidRDefault="00E97743">
      <w:pPr>
        <w:pStyle w:val="IPPNormal"/>
      </w:pPr>
      <w:r w:rsidRPr="007D2212">
        <w:rPr>
          <w:rStyle w:val="PleaseReviewParagraphId"/>
        </w:rPr>
        <w:t>[475]</w:t>
      </w:r>
      <w:r w:rsidRPr="007D2212">
        <w:rPr>
          <w:b/>
        </w:rPr>
        <w:t>Drew, R.A.I. &amp;</w:t>
      </w:r>
      <w:r w:rsidRPr="007D2212">
        <w:rPr>
          <w:rFonts w:eastAsiaTheme="minorEastAsia"/>
          <w:b/>
          <w:lang w:eastAsia="ja-JP"/>
        </w:rPr>
        <w:t xml:space="preserve"> </w:t>
      </w:r>
      <w:r w:rsidRPr="007D2212">
        <w:rPr>
          <w:b/>
        </w:rPr>
        <w:t>Romig, M.C.</w:t>
      </w:r>
      <w:r w:rsidRPr="007D2212">
        <w:t xml:space="preserve"> 2013. </w:t>
      </w:r>
      <w:r w:rsidRPr="007D2212">
        <w:rPr>
          <w:i/>
        </w:rPr>
        <w:t>Tropical fruit flies of south-east Asia.</w:t>
      </w:r>
      <w:r w:rsidRPr="007D2212">
        <w:t xml:space="preserve"> Wallingford, UK, CABI. 664 pp.</w:t>
      </w:r>
    </w:p>
    <w:p w14:paraId="71759860" w14:textId="77777777" w:rsidR="00612969" w:rsidRPr="007D2212" w:rsidRDefault="00E97743">
      <w:pPr>
        <w:pStyle w:val="IPPNormal"/>
      </w:pPr>
      <w:r w:rsidRPr="007D2212">
        <w:rPr>
          <w:rStyle w:val="PleaseReviewParagraphId"/>
        </w:rPr>
        <w:t>[476]</w:t>
      </w:r>
      <w:r w:rsidRPr="007D2212">
        <w:rPr>
          <w:b/>
          <w:lang w:eastAsia="ja-JP"/>
        </w:rPr>
        <w:t xml:space="preserve">Drew, R.A.I. &amp; Romig, M.C. </w:t>
      </w:r>
      <w:r w:rsidRPr="007D2212">
        <w:rPr>
          <w:lang w:eastAsia="ja-JP"/>
        </w:rPr>
        <w:t>2016</w:t>
      </w:r>
      <w:r w:rsidRPr="007D2212">
        <w:rPr>
          <w:i/>
          <w:iCs/>
          <w:lang w:eastAsia="ja-JP"/>
        </w:rPr>
        <w:t>. Keys to the tropical fruit flies (Tephritidae: Dacinae) of south-east Asia</w:t>
      </w:r>
      <w:r w:rsidRPr="007D2212">
        <w:rPr>
          <w:lang w:eastAsia="ja-JP"/>
        </w:rPr>
        <w:t>. Wallingford, UK, CABI. 496 pp.</w:t>
      </w:r>
    </w:p>
    <w:p w14:paraId="47638D71" w14:textId="77777777" w:rsidR="00612969" w:rsidRPr="007D2212" w:rsidRDefault="00E97743">
      <w:pPr>
        <w:pStyle w:val="IPPNormal"/>
      </w:pPr>
      <w:r w:rsidRPr="007D2212">
        <w:rPr>
          <w:rStyle w:val="PleaseReviewParagraphId"/>
        </w:rPr>
        <w:t>[477]</w:t>
      </w:r>
      <w:r w:rsidRPr="007D2212">
        <w:rPr>
          <w:b/>
        </w:rPr>
        <w:t>Drew, R.A.I., Tsuruta</w:t>
      </w:r>
      <w:r w:rsidRPr="007D2212">
        <w:rPr>
          <w:rFonts w:eastAsiaTheme="minorEastAsia"/>
          <w:b/>
          <w:lang w:eastAsia="ja-JP"/>
        </w:rPr>
        <w:t xml:space="preserve"> </w:t>
      </w:r>
      <w:r w:rsidRPr="007D2212">
        <w:rPr>
          <w:b/>
        </w:rPr>
        <w:t>K. &amp; White, I.M.</w:t>
      </w:r>
      <w:r w:rsidRPr="007D2212">
        <w:t xml:space="preserve"> 2005. A new species of pest fruit fly (Diptera: Tephritidae: Dacinae) from Sri Lanka and Africa. </w:t>
      </w:r>
      <w:r w:rsidRPr="007D2212">
        <w:rPr>
          <w:i/>
        </w:rPr>
        <w:t>African Entomology</w:t>
      </w:r>
      <w:r w:rsidRPr="007D2212">
        <w:t>, 13 (1): 149–154.</w:t>
      </w:r>
    </w:p>
    <w:p w14:paraId="726FC743" w14:textId="29A8BB58" w:rsidR="00424C77" w:rsidRDefault="00424C77">
      <w:pPr>
        <w:pStyle w:val="IPPNormal"/>
        <w:rPr>
          <w:rStyle w:val="PleaseReviewParagraphId"/>
        </w:rPr>
      </w:pPr>
      <w:r w:rsidRPr="00EC752D">
        <w:rPr>
          <w:b/>
        </w:rPr>
        <w:t xml:space="preserve">Doorenweerd, C., Leblanc, L., Norrbom, A.L., San Jose, M. &amp; Rubinoff, D. </w:t>
      </w:r>
      <w:r w:rsidR="00017B4C">
        <w:t>2018. A glob</w:t>
      </w:r>
      <w:r>
        <w:t>al checklist of the 932 fruit fly species in the tribe Dacini (Diptera, Tephr</w:t>
      </w:r>
      <w:r w:rsidR="004F7E07">
        <w:t>i</w:t>
      </w:r>
      <w:r>
        <w:t xml:space="preserve">tidae). </w:t>
      </w:r>
      <w:r w:rsidRPr="00EC752D">
        <w:rPr>
          <w:i/>
        </w:rPr>
        <w:t>Zookeys</w:t>
      </w:r>
      <w:r>
        <w:t xml:space="preserve"> 730: </w:t>
      </w:r>
      <w:r w:rsidR="004F7E07">
        <w:t>19-56</w:t>
      </w:r>
      <w:r>
        <w:t xml:space="preserve">. </w:t>
      </w:r>
    </w:p>
    <w:p w14:paraId="5135F78D" w14:textId="77777777" w:rsidR="00612969" w:rsidRPr="007D2212" w:rsidRDefault="00E97743">
      <w:pPr>
        <w:pStyle w:val="IPPNormal"/>
      </w:pPr>
      <w:r w:rsidRPr="007D2212">
        <w:rPr>
          <w:rStyle w:val="PleaseReviewParagraphId"/>
        </w:rPr>
        <w:t>[478]</w:t>
      </w:r>
      <w:r w:rsidRPr="007D2212">
        <w:rPr>
          <w:b/>
        </w:rPr>
        <w:t>Ebina, T. &amp; Ohto, K.</w:t>
      </w:r>
      <w:r w:rsidRPr="007D2212">
        <w:t xml:space="preserve"> 2006. Morphological characters and PCR-RFLP markers in the interspecific hybrids between </w:t>
      </w:r>
      <w:r w:rsidRPr="007D2212">
        <w:rPr>
          <w:i/>
        </w:rPr>
        <w:t>Bactrocera carambolae</w:t>
      </w:r>
      <w:r w:rsidRPr="007D2212">
        <w:t xml:space="preserve"> and </w:t>
      </w:r>
      <w:r w:rsidRPr="007D2212">
        <w:rPr>
          <w:i/>
        </w:rPr>
        <w:t>B. papayae</w:t>
      </w:r>
      <w:r w:rsidRPr="007D2212">
        <w:t xml:space="preserve"> of the </w:t>
      </w:r>
      <w:r w:rsidRPr="007D2212">
        <w:rPr>
          <w:i/>
        </w:rPr>
        <w:t>B. dorsalis</w:t>
      </w:r>
      <w:r w:rsidRPr="007D2212">
        <w:t xml:space="preserve"> species complex (Diptera: Tephritidae). </w:t>
      </w:r>
      <w:r w:rsidRPr="007D2212">
        <w:rPr>
          <w:i/>
        </w:rPr>
        <w:t>Research Bulletin of Plant Protection Japan</w:t>
      </w:r>
      <w:r w:rsidRPr="007D2212">
        <w:t>, 42: 23–34.</w:t>
      </w:r>
    </w:p>
    <w:p w14:paraId="1E66AB59" w14:textId="7DC113F7" w:rsidR="00612969" w:rsidRPr="007D2212" w:rsidRDefault="00E97743">
      <w:pPr>
        <w:pStyle w:val="IPPNormal"/>
      </w:pPr>
      <w:r w:rsidRPr="007D2212">
        <w:rPr>
          <w:rStyle w:val="PleaseReviewParagraphId"/>
        </w:rPr>
        <w:t>[479]</w:t>
      </w:r>
      <w:r w:rsidR="00D22FA0" w:rsidRPr="00D22FA0">
        <w:t xml:space="preserve"> </w:t>
      </w:r>
      <w:r w:rsidR="00D22FA0" w:rsidRPr="00FC040F">
        <w:rPr>
          <w:b/>
        </w:rPr>
        <w:t>FAO/IAEA</w:t>
      </w:r>
      <w:r w:rsidR="00D22FA0">
        <w:t xml:space="preserve">. 2018. Trapping guidelines for area-wide fruit fly programmes, Second edition, by Enkerlin, W.R. and Reyes- Flores, J. (eds). Rome, Italy. 65 pp. URL: </w:t>
      </w:r>
      <w:hyperlink r:id="rId21" w:history="1">
        <w:r w:rsidR="00D22FA0">
          <w:rPr>
            <w:rStyle w:val="Hyperlink"/>
          </w:rPr>
          <w:t>http://www-naweb.iaea.org/nafa/ipc/public/Trapping-guideline-(002).pdf</w:t>
        </w:r>
      </w:hyperlink>
      <w:r w:rsidR="00D22FA0">
        <w:t xml:space="preserve"> (last accessed 6 March 2018).</w:t>
      </w:r>
    </w:p>
    <w:p w14:paraId="63C847FA" w14:textId="77777777" w:rsidR="00612969" w:rsidRPr="007D2212" w:rsidRDefault="00E97743">
      <w:pPr>
        <w:pStyle w:val="IPPNormal"/>
      </w:pPr>
      <w:r w:rsidRPr="007D2212">
        <w:rPr>
          <w:rStyle w:val="PleaseReviewParagraphId"/>
        </w:rPr>
        <w:t>[480]</w:t>
      </w:r>
      <w:r w:rsidRPr="007D2212">
        <w:rPr>
          <w:b/>
        </w:rPr>
        <w:t>Foote, R.H., Blanc, F.L. &amp;</w:t>
      </w:r>
      <w:r w:rsidRPr="007D2212">
        <w:rPr>
          <w:rFonts w:eastAsiaTheme="minorEastAsia"/>
          <w:b/>
          <w:lang w:eastAsia="ja-JP"/>
        </w:rPr>
        <w:t xml:space="preserve"> </w:t>
      </w:r>
      <w:r w:rsidRPr="007D2212">
        <w:rPr>
          <w:b/>
        </w:rPr>
        <w:t>Norrbom, A.L.</w:t>
      </w:r>
      <w:r w:rsidRPr="007D2212">
        <w:t xml:space="preserve"> 1993. </w:t>
      </w:r>
      <w:r w:rsidRPr="007D2212">
        <w:rPr>
          <w:i/>
        </w:rPr>
        <w:t>Handbook of the fruit flies (Diptera: Tephritidae) of America north of Mexico.</w:t>
      </w:r>
      <w:r w:rsidRPr="007D2212">
        <w:t xml:space="preserve"> Ithaca, NY, Comstock Publishing Associates (Cornell University Press). 571 pp.</w:t>
      </w:r>
    </w:p>
    <w:p w14:paraId="157E2913" w14:textId="77777777" w:rsidR="00612969" w:rsidRPr="007D2212" w:rsidRDefault="00E97743">
      <w:pPr>
        <w:pStyle w:val="IPPNormal"/>
      </w:pPr>
      <w:r w:rsidRPr="007D2212">
        <w:rPr>
          <w:rStyle w:val="PleaseReviewParagraphId"/>
        </w:rPr>
        <w:lastRenderedPageBreak/>
        <w:t>[481]</w:t>
      </w:r>
      <w:r w:rsidRPr="007D2212">
        <w:rPr>
          <w:b/>
        </w:rPr>
        <w:t>Hardy, D.E.</w:t>
      </w:r>
      <w:r w:rsidRPr="007D2212">
        <w:t xml:space="preserve"> 1949. Studies in Hawaiian fruit flies. </w:t>
      </w:r>
      <w:r w:rsidRPr="007D2212">
        <w:rPr>
          <w:i/>
        </w:rPr>
        <w:t>Proceedings of the Entomological Society of Washington</w:t>
      </w:r>
      <w:r w:rsidRPr="007D2212">
        <w:t>, 51(5): 181–205.</w:t>
      </w:r>
    </w:p>
    <w:p w14:paraId="23FA7CEB" w14:textId="77777777" w:rsidR="00612969" w:rsidRPr="007D2212" w:rsidRDefault="00E97743">
      <w:pPr>
        <w:pStyle w:val="IPPNormal"/>
      </w:pPr>
      <w:r w:rsidRPr="007D2212">
        <w:rPr>
          <w:rStyle w:val="PleaseReviewParagraphId"/>
        </w:rPr>
        <w:t>[482]</w:t>
      </w:r>
      <w:r w:rsidRPr="007D2212">
        <w:rPr>
          <w:b/>
        </w:rPr>
        <w:t>Hardy, D.E.</w:t>
      </w:r>
      <w:r w:rsidRPr="007D2212">
        <w:t xml:space="preserve"> 1969. Taxonomy and distribution of the Oriental fruit fly and related species (Tephritidae-Diptera). </w:t>
      </w:r>
      <w:r w:rsidRPr="007D2212">
        <w:rPr>
          <w:i/>
        </w:rPr>
        <w:t>Proceedings of the Hawaiian Entomological Society</w:t>
      </w:r>
      <w:r w:rsidRPr="007D2212">
        <w:t>, 20: 395–428.</w:t>
      </w:r>
    </w:p>
    <w:p w14:paraId="5B9713FE" w14:textId="77777777" w:rsidR="00612969" w:rsidRPr="007D2212" w:rsidRDefault="00E97743">
      <w:pPr>
        <w:pStyle w:val="IPPNormal"/>
      </w:pPr>
      <w:r w:rsidRPr="007D2212">
        <w:rPr>
          <w:rStyle w:val="PleaseReviewParagraphId"/>
        </w:rPr>
        <w:t>[483]</w:t>
      </w:r>
      <w:r w:rsidRPr="007D2212">
        <w:rPr>
          <w:b/>
        </w:rPr>
        <w:t>Hardy, D.E. &amp; Adachi, M</w:t>
      </w:r>
      <w:r w:rsidRPr="007D2212">
        <w:t xml:space="preserve">. 1954. Studies in the fruit flies of the Philippine Islands, Indonesia, and Malaya. Part I. Dacini (Tephritidae: Diptera). </w:t>
      </w:r>
      <w:r w:rsidRPr="007D2212">
        <w:rPr>
          <w:i/>
        </w:rPr>
        <w:t>Pacific Science</w:t>
      </w:r>
      <w:r w:rsidRPr="007D2212">
        <w:t>, 8: 147–204.</w:t>
      </w:r>
    </w:p>
    <w:p w14:paraId="4DE6E232" w14:textId="77777777" w:rsidR="00612969" w:rsidRPr="007D2212" w:rsidRDefault="00E97743">
      <w:pPr>
        <w:pStyle w:val="IPPNormal"/>
      </w:pPr>
      <w:r w:rsidRPr="007D2212">
        <w:rPr>
          <w:rStyle w:val="PleaseReviewParagraphId"/>
        </w:rPr>
        <w:t>[484]</w:t>
      </w:r>
      <w:r w:rsidRPr="007D2212">
        <w:rPr>
          <w:b/>
        </w:rPr>
        <w:t>Hendrichs, J., Vera, M.T., De Meyer, M. &amp; Clarke, A.R.</w:t>
      </w:r>
      <w:r w:rsidRPr="007D2212">
        <w:t xml:space="preserve"> 2015. Resolving cryptic species complexes of major tephritid pests.</w:t>
      </w:r>
      <w:r w:rsidRPr="007D2212">
        <w:rPr>
          <w:i/>
        </w:rPr>
        <w:t xml:space="preserve"> ZooKeys</w:t>
      </w:r>
      <w:r w:rsidRPr="007D2212">
        <w:t>, 540: 5–39.</w:t>
      </w:r>
    </w:p>
    <w:p w14:paraId="2D8079B9" w14:textId="77777777" w:rsidR="00612969" w:rsidRPr="007D2212" w:rsidRDefault="00E97743">
      <w:pPr>
        <w:pStyle w:val="IPPNormal"/>
      </w:pPr>
      <w:r w:rsidRPr="007D2212">
        <w:rPr>
          <w:rStyle w:val="PleaseReviewParagraphId"/>
        </w:rPr>
        <w:t>[485]</w:t>
      </w:r>
      <w:r w:rsidRPr="007D2212">
        <w:rPr>
          <w:b/>
        </w:rPr>
        <w:t xml:space="preserve">ICZN </w:t>
      </w:r>
      <w:r w:rsidRPr="007D2212">
        <w:t>(International Commission on Zoological Nomenclature).</w:t>
      </w:r>
      <w:r w:rsidRPr="007D2212">
        <w:rPr>
          <w:b/>
        </w:rPr>
        <w:t xml:space="preserve"> </w:t>
      </w:r>
      <w:r w:rsidRPr="007D2212">
        <w:t>1999.</w:t>
      </w:r>
      <w:r w:rsidRPr="007D2212">
        <w:rPr>
          <w:rFonts w:eastAsiaTheme="minorEastAsia"/>
          <w:lang w:eastAsia="ja-JP"/>
        </w:rPr>
        <w:t xml:space="preserve"> </w:t>
      </w:r>
      <w:r w:rsidRPr="007D2212">
        <w:rPr>
          <w:i/>
        </w:rPr>
        <w:t>International code of zoological nomenclature</w:t>
      </w:r>
      <w:r w:rsidRPr="007D2212">
        <w:t>, 4th edn. London, International Trust for Zoological Nomenclature. 306 pp.</w:t>
      </w:r>
    </w:p>
    <w:p w14:paraId="34CA74B7" w14:textId="3C0A4CBB" w:rsidR="00612969" w:rsidRPr="007D2212" w:rsidRDefault="00E97743">
      <w:pPr>
        <w:pStyle w:val="IPPNormal"/>
      </w:pPr>
      <w:r w:rsidRPr="007D2212">
        <w:rPr>
          <w:rStyle w:val="PleaseReviewParagraphId"/>
        </w:rPr>
        <w:t>[486]</w:t>
      </w:r>
      <w:r w:rsidRPr="007D2212">
        <w:rPr>
          <w:b/>
          <w:lang w:eastAsia="ja-JP"/>
        </w:rPr>
        <w:t xml:space="preserve">Ito, S. </w:t>
      </w:r>
      <w:r w:rsidRPr="007D2212">
        <w:rPr>
          <w:lang w:eastAsia="ja-JP"/>
        </w:rPr>
        <w:t>1988.</w:t>
      </w:r>
      <w:r w:rsidRPr="007D2212">
        <w:rPr>
          <w:b/>
          <w:lang w:eastAsia="ja-JP"/>
        </w:rPr>
        <w:t xml:space="preserve"> </w:t>
      </w:r>
      <w:r w:rsidR="00C86DF5">
        <w:rPr>
          <w:b/>
          <w:lang w:eastAsia="ja-JP"/>
        </w:rPr>
        <w:t>[</w:t>
      </w:r>
      <w:r w:rsidRPr="007D2212">
        <w:rPr>
          <w:lang w:eastAsia="ja-JP"/>
        </w:rPr>
        <w:t>On the taxonomy of fruit flies.</w:t>
      </w:r>
      <w:r w:rsidR="00C86DF5">
        <w:rPr>
          <w:lang w:eastAsia="ja-JP"/>
        </w:rPr>
        <w:t>]</w:t>
      </w:r>
      <w:r w:rsidRPr="007D2212">
        <w:rPr>
          <w:lang w:eastAsia="ja-JP"/>
        </w:rPr>
        <w:t xml:space="preserve"> (Unpublished textbook for plant inspector in Japan; in Japanese.)</w:t>
      </w:r>
    </w:p>
    <w:p w14:paraId="55EC6765" w14:textId="77777777" w:rsidR="00612969" w:rsidRDefault="00E97743">
      <w:pPr>
        <w:pStyle w:val="IPPNormal"/>
        <w:rPr>
          <w:b/>
        </w:rPr>
      </w:pPr>
      <w:r w:rsidRPr="007D2212">
        <w:rPr>
          <w:rStyle w:val="PleaseReviewParagraphId"/>
        </w:rPr>
        <w:t>[487]</w:t>
      </w:r>
      <w:r w:rsidRPr="007D2212">
        <w:rPr>
          <w:b/>
        </w:rPr>
        <w:t xml:space="preserve">Jalani, G.S.P., Laude, R.P., Diaz, M.G.Q., Medina, C.dR. &amp; Velasco, L.R.I. </w:t>
      </w:r>
      <w:r w:rsidRPr="007D2212">
        <w:t xml:space="preserve">2014. Genetic diversity of natural populations of </w:t>
      </w:r>
      <w:r w:rsidRPr="007D2212">
        <w:rPr>
          <w:i/>
        </w:rPr>
        <w:t>Bactrocera occipitalis</w:t>
      </w:r>
      <w:r w:rsidRPr="007D2212">
        <w:t xml:space="preserve"> (Bezzi) and </w:t>
      </w:r>
      <w:r w:rsidRPr="007D2212">
        <w:rPr>
          <w:i/>
        </w:rPr>
        <w:t>B. philippinensis</w:t>
      </w:r>
      <w:r w:rsidRPr="007D2212">
        <w:t xml:space="preserve"> Drew and Hancock (Dipera: Tephritidae) in selected mango producing areas in the Philippines using microsatellites. </w:t>
      </w:r>
      <w:r w:rsidRPr="007D2212">
        <w:rPr>
          <w:i/>
        </w:rPr>
        <w:t>Agrivita</w:t>
      </w:r>
      <w:r w:rsidRPr="007D2212">
        <w:t>, 36: 217–228.</w:t>
      </w:r>
      <w:r w:rsidRPr="007D2212">
        <w:rPr>
          <w:b/>
        </w:rPr>
        <w:t xml:space="preserve"> </w:t>
      </w:r>
    </w:p>
    <w:p w14:paraId="6A8A9A40" w14:textId="3360F8C0" w:rsidR="00FF1EE4" w:rsidRPr="007D2212" w:rsidRDefault="00FF1EE4" w:rsidP="00FF1EE4">
      <w:pPr>
        <w:pStyle w:val="IPPNormal"/>
        <w:rPr>
          <w:b/>
        </w:rPr>
      </w:pPr>
      <w:r>
        <w:rPr>
          <w:b/>
        </w:rPr>
        <w:t xml:space="preserve">Krosch, M.N., Schutze, M.K., Armstrong, K.F., Boontop, Y., Boykin, L.M., Chapman, T.A., Englezou, A., et al. </w:t>
      </w:r>
      <w:r w:rsidRPr="00A4522D">
        <w:t xml:space="preserve">2013. Piecing together an integrative taxonomic puzzle: microsatellite, wing shape and aedeagus length analyses of </w:t>
      </w:r>
      <w:r w:rsidRPr="00A4522D">
        <w:rPr>
          <w:i/>
        </w:rPr>
        <w:t>Bactrocera dorsalis</w:t>
      </w:r>
      <w:r w:rsidRPr="00A4522D">
        <w:t xml:space="preserve"> </w:t>
      </w:r>
      <w:r w:rsidRPr="00A4522D">
        <w:rPr>
          <w:i/>
        </w:rPr>
        <w:t>s</w:t>
      </w:r>
      <w:r w:rsidRPr="00A4522D">
        <w:t>.</w:t>
      </w:r>
      <w:r w:rsidRPr="00A4522D">
        <w:rPr>
          <w:i/>
        </w:rPr>
        <w:t>l</w:t>
      </w:r>
      <w:r w:rsidRPr="00A4522D">
        <w:t xml:space="preserve">. (Diptera: Tephritidae) find no evidence of multiple lineages in a proposed contact zone along the Thai/Malay Peninsula. </w:t>
      </w:r>
      <w:r w:rsidRPr="00EC752D">
        <w:rPr>
          <w:i/>
        </w:rPr>
        <w:t>Systematic Entomology</w:t>
      </w:r>
      <w:r w:rsidRPr="00A4522D">
        <w:t>, 38: 2-13.</w:t>
      </w:r>
    </w:p>
    <w:p w14:paraId="69478281" w14:textId="77777777" w:rsidR="00612969" w:rsidRPr="007D2212" w:rsidRDefault="00E97743">
      <w:pPr>
        <w:pStyle w:val="IPPNormal"/>
      </w:pPr>
      <w:r w:rsidRPr="007D2212">
        <w:rPr>
          <w:rStyle w:val="PleaseReviewParagraphId"/>
        </w:rPr>
        <w:t>[488]</w:t>
      </w:r>
      <w:r w:rsidRPr="007D2212">
        <w:rPr>
          <w:b/>
        </w:rPr>
        <w:t>Leblanc, L., San Jose, M., Barr, N. &amp; Rubinoff, D.</w:t>
      </w:r>
      <w:r w:rsidRPr="007D2212">
        <w:t xml:space="preserve"> 2015. A phylogenetic assessment of the polyphyletic nature and intraspecific color polymorphism in the </w:t>
      </w:r>
      <w:r w:rsidRPr="007D2212">
        <w:rPr>
          <w:i/>
        </w:rPr>
        <w:t>Bactrocera dorsalis</w:t>
      </w:r>
      <w:r w:rsidRPr="007D2212">
        <w:t xml:space="preserve"> complex (Diptera, Tephritidae). </w:t>
      </w:r>
      <w:r w:rsidRPr="007D2212">
        <w:rPr>
          <w:i/>
        </w:rPr>
        <w:t>Zookeys</w:t>
      </w:r>
      <w:r w:rsidRPr="007D2212">
        <w:t>, 540: 339–367.</w:t>
      </w:r>
    </w:p>
    <w:p w14:paraId="77666F85" w14:textId="77777777" w:rsidR="00612969" w:rsidRPr="007D2212" w:rsidRDefault="00E97743">
      <w:pPr>
        <w:pStyle w:val="IPPNormal"/>
      </w:pPr>
      <w:r w:rsidRPr="007D2212">
        <w:rPr>
          <w:rStyle w:val="PleaseReviewParagraphId"/>
        </w:rPr>
        <w:t>[489]</w:t>
      </w:r>
      <w:r w:rsidRPr="007D2212">
        <w:rPr>
          <w:b/>
        </w:rPr>
        <w:t xml:space="preserve">McInnis, D.O., Rendon, P., Jang, E., Van Sauers-Muller, A., Sugayama, R. &amp; Malavasi, A. </w:t>
      </w:r>
      <w:r w:rsidRPr="007D2212">
        <w:t xml:space="preserve">1999. Interspecific mating of introduced, sterile </w:t>
      </w:r>
      <w:r w:rsidRPr="007D2212">
        <w:rPr>
          <w:i/>
        </w:rPr>
        <w:t>Bactrocera dorsalis</w:t>
      </w:r>
      <w:r w:rsidRPr="007D2212">
        <w:t xml:space="preserve"> with wild </w:t>
      </w:r>
      <w:r w:rsidRPr="007D2212">
        <w:rPr>
          <w:i/>
        </w:rPr>
        <w:t>B. carambolae</w:t>
      </w:r>
      <w:r w:rsidRPr="007D2212">
        <w:t xml:space="preserve"> (Diptera: Tephritidae) in Suriname: A potential case for cross-species Sterile Insert Technique. </w:t>
      </w:r>
      <w:r w:rsidRPr="007D2212">
        <w:rPr>
          <w:i/>
        </w:rPr>
        <w:t>Annals of the Entomological Society of America</w:t>
      </w:r>
      <w:r w:rsidRPr="007D2212">
        <w:t>, 92: 758–765.</w:t>
      </w:r>
    </w:p>
    <w:p w14:paraId="2FD1274C" w14:textId="77777777" w:rsidR="00612969" w:rsidRPr="007D2212" w:rsidRDefault="00E97743">
      <w:pPr>
        <w:pStyle w:val="IPPNormal"/>
      </w:pPr>
      <w:r w:rsidRPr="007D2212">
        <w:rPr>
          <w:rStyle w:val="PleaseReviewParagraphId"/>
        </w:rPr>
        <w:t>[490]</w:t>
      </w:r>
      <w:r w:rsidRPr="007D2212">
        <w:rPr>
          <w:b/>
        </w:rPr>
        <w:t>Plant Health Australia.</w:t>
      </w:r>
      <w:r w:rsidRPr="007D2212">
        <w:t xml:space="preserve"> 2016. </w:t>
      </w:r>
      <w:r w:rsidRPr="007D2212">
        <w:rPr>
          <w:i/>
        </w:rPr>
        <w:t>The handbook for the identification of fruit flies</w:t>
      </w:r>
      <w:r w:rsidRPr="007D2212">
        <w:t>, version 2.1. Canberra, Plant Health Australia. 314 pp.</w:t>
      </w:r>
    </w:p>
    <w:p w14:paraId="05DD4A55" w14:textId="77777777" w:rsidR="00612969" w:rsidRPr="007D2212" w:rsidRDefault="00E97743">
      <w:pPr>
        <w:pStyle w:val="IPPNormal"/>
      </w:pPr>
      <w:r w:rsidRPr="007D2212">
        <w:rPr>
          <w:rStyle w:val="PleaseReviewParagraphId"/>
        </w:rPr>
        <w:t>[491]</w:t>
      </w:r>
      <w:r w:rsidRPr="007D2212">
        <w:rPr>
          <w:b/>
        </w:rPr>
        <w:t xml:space="preserve">Ratnasingham, S. &amp; Hebert, P.D.N. </w:t>
      </w:r>
      <w:r w:rsidRPr="007D2212">
        <w:t>2007. BOLD: The Barcode of Life Data System (</w:t>
      </w:r>
      <w:hyperlink r:id="rId22" w:history="1">
        <w:r w:rsidRPr="007D2212">
          <w:rPr>
            <w:rStyle w:val="Hyperlink"/>
            <w:szCs w:val="22"/>
          </w:rPr>
          <w:t>http://www.barcodinglife.org/</w:t>
        </w:r>
      </w:hyperlink>
      <w:r w:rsidRPr="007D2212">
        <w:t>).</w:t>
      </w:r>
      <w:r w:rsidRPr="007D2212">
        <w:rPr>
          <w:i/>
        </w:rPr>
        <w:t xml:space="preserve"> Molecular Ecology Notes</w:t>
      </w:r>
      <w:r w:rsidRPr="007D2212">
        <w:t>, 7: 355–364.</w:t>
      </w:r>
    </w:p>
    <w:p w14:paraId="15794971" w14:textId="3CD0CD06" w:rsidR="00612969" w:rsidRPr="007D2212" w:rsidRDefault="00E97743">
      <w:pPr>
        <w:pStyle w:val="IPPNormal"/>
      </w:pPr>
      <w:r w:rsidRPr="007D2212">
        <w:rPr>
          <w:rStyle w:val="PleaseReviewParagraphId"/>
        </w:rPr>
        <w:t>[492]</w:t>
      </w:r>
      <w:r w:rsidRPr="007D2212">
        <w:rPr>
          <w:b/>
          <w:bCs/>
        </w:rPr>
        <w:t>Schutze, M.K., Aketarawong, N., Amornsak, W., Armstrong, K.F., Augustinos, A.A., Barr, N., Bo, W.</w:t>
      </w:r>
      <w:r w:rsidR="00583F86">
        <w:rPr>
          <w:b/>
          <w:bCs/>
        </w:rPr>
        <w:t xml:space="preserve"> </w:t>
      </w:r>
      <w:r w:rsidR="00583F86">
        <w:rPr>
          <w:b/>
          <w:bCs/>
          <w:i/>
        </w:rPr>
        <w:t>et al.</w:t>
      </w:r>
      <w:r w:rsidRPr="007D2212">
        <w:t xml:space="preserve"> 201</w:t>
      </w:r>
      <w:r w:rsidRPr="007D2212">
        <w:rPr>
          <w:rFonts w:eastAsiaTheme="minorEastAsia"/>
          <w:lang w:eastAsia="ja-JP"/>
        </w:rPr>
        <w:t>5</w:t>
      </w:r>
      <w:r w:rsidRPr="007D2212">
        <w:t xml:space="preserve">a. Synonymization of key pest within the </w:t>
      </w:r>
      <w:r w:rsidRPr="007D2212">
        <w:rPr>
          <w:i/>
          <w:iCs/>
        </w:rPr>
        <w:t>Bactrocera dorsalis</w:t>
      </w:r>
      <w:r w:rsidRPr="007D2212">
        <w:t xml:space="preserve"> species complex (Diptera: Tephritidae): Taxonomic changes based on a review of 20 years of the integrative morphological, molecular, cytogenetic, behavioural, and chemoecological data. </w:t>
      </w:r>
      <w:r w:rsidRPr="007D2212">
        <w:rPr>
          <w:i/>
        </w:rPr>
        <w:t>Systematic Entomology</w:t>
      </w:r>
      <w:r w:rsidRPr="007D2212">
        <w:t>, 40: 456–471.</w:t>
      </w:r>
    </w:p>
    <w:p w14:paraId="76C03884" w14:textId="5440AD2B" w:rsidR="00817C65" w:rsidRPr="007D2212" w:rsidRDefault="00817C65" w:rsidP="00817C65">
      <w:pPr>
        <w:pStyle w:val="IPPNormal"/>
      </w:pPr>
      <w:r w:rsidRPr="007D2212">
        <w:rPr>
          <w:b/>
        </w:rPr>
        <w:t>Schutze, M.K., Bourtzis, K., Cameron, S.L., Clarke, A.R., De Meyer, M., Hee, A.K.</w:t>
      </w:r>
      <w:r w:rsidR="009171FB">
        <w:rPr>
          <w:b/>
        </w:rPr>
        <w:t>W.</w:t>
      </w:r>
      <w:r w:rsidRPr="007D2212">
        <w:rPr>
          <w:b/>
        </w:rPr>
        <w:t>, Hendrichs, J., Krosch, M.N. &amp; Mwatawala, M.</w:t>
      </w:r>
      <w:r w:rsidRPr="007D2212">
        <w:t xml:space="preserve"> 201</w:t>
      </w:r>
      <w:r w:rsidRPr="007D2212">
        <w:rPr>
          <w:rFonts w:eastAsiaTheme="minorEastAsia"/>
          <w:lang w:eastAsia="ja-JP"/>
        </w:rPr>
        <w:t>7</w:t>
      </w:r>
      <w:r w:rsidRPr="007D2212">
        <w:t xml:space="preserve">. Integrative taxonomy versus taxonomic authority without peer review: </w:t>
      </w:r>
      <w:r>
        <w:t>T</w:t>
      </w:r>
      <w:r w:rsidRPr="007D2212">
        <w:t xml:space="preserve">he case of the Oriental fruit fly, </w:t>
      </w:r>
      <w:r w:rsidRPr="00A4522D">
        <w:rPr>
          <w:i/>
        </w:rPr>
        <w:t>Bactrocera dorsali</w:t>
      </w:r>
      <w:r w:rsidRPr="007D2212">
        <w:t xml:space="preserve">s (Tephritidae). </w:t>
      </w:r>
      <w:r w:rsidRPr="007D2212">
        <w:rPr>
          <w:i/>
        </w:rPr>
        <w:t>Systematic Entomology</w:t>
      </w:r>
      <w:r w:rsidRPr="007D2212">
        <w:t>, 42: 609–620.</w:t>
      </w:r>
    </w:p>
    <w:p w14:paraId="69032E1E" w14:textId="434580F7" w:rsidR="00612969" w:rsidRPr="007D2212" w:rsidRDefault="00E97743" w:rsidP="00817C65">
      <w:pPr>
        <w:pStyle w:val="IPPNormal"/>
      </w:pPr>
      <w:r w:rsidRPr="007D2212">
        <w:rPr>
          <w:rStyle w:val="PleaseReviewParagraphId"/>
        </w:rPr>
        <w:t>[493]</w:t>
      </w:r>
      <w:r w:rsidRPr="007D2212">
        <w:rPr>
          <w:b/>
        </w:rPr>
        <w:t>Schutze, M.K., Jessup, A., Ul-Haq, I., Vreysen, M.J.B., Wornoayporn, V., Vera, M.T. &amp; Clarke, A.R.</w:t>
      </w:r>
      <w:r w:rsidRPr="007D2212">
        <w:t xml:space="preserve"> 2013. Mating compatibility among four pest members of the </w:t>
      </w:r>
      <w:r w:rsidRPr="007D2212">
        <w:rPr>
          <w:i/>
        </w:rPr>
        <w:t>Bactrocera dorsalis</w:t>
      </w:r>
      <w:r w:rsidRPr="007D2212">
        <w:t xml:space="preserve"> fruit fly species complex (Diptera: Tephritidae).</w:t>
      </w:r>
      <w:r w:rsidRPr="007D2212">
        <w:rPr>
          <w:i/>
        </w:rPr>
        <w:t xml:space="preserve"> Journal of Economic Entomology</w:t>
      </w:r>
      <w:r w:rsidRPr="007D2212">
        <w:t>, 106: 695–707.</w:t>
      </w:r>
    </w:p>
    <w:p w14:paraId="3A0D2C56" w14:textId="77777777" w:rsidR="00612969" w:rsidRPr="007D2212" w:rsidRDefault="00E97743">
      <w:pPr>
        <w:pStyle w:val="IPPNormal"/>
      </w:pPr>
      <w:r w:rsidRPr="007D2212">
        <w:rPr>
          <w:rStyle w:val="PleaseReviewParagraphId"/>
        </w:rPr>
        <w:lastRenderedPageBreak/>
        <w:t>[494]</w:t>
      </w:r>
      <w:r w:rsidRPr="007D2212">
        <w:rPr>
          <w:b/>
        </w:rPr>
        <w:t>Schutze, M.K., Mahmood, K., Pavasovic, A., Bo, W., Newman, J., Clarke, A.R., Krosch, M.N. &amp; Cameron, S.L.</w:t>
      </w:r>
      <w:r w:rsidRPr="007D2212">
        <w:t xml:space="preserve"> 201</w:t>
      </w:r>
      <w:r w:rsidRPr="007D2212">
        <w:rPr>
          <w:rFonts w:eastAsiaTheme="minorEastAsia"/>
          <w:lang w:eastAsia="ja-JP"/>
        </w:rPr>
        <w:t>5</w:t>
      </w:r>
      <w:r w:rsidRPr="007D2212">
        <w:t xml:space="preserve">b. One and the same: Integrative taxonomic evidence that </w:t>
      </w:r>
      <w:r w:rsidRPr="007D2212">
        <w:rPr>
          <w:i/>
        </w:rPr>
        <w:t>Bactr</w:t>
      </w:r>
      <w:r w:rsidRPr="007D2212">
        <w:rPr>
          <w:rFonts w:eastAsiaTheme="minorEastAsia"/>
          <w:i/>
          <w:lang w:eastAsia="ja-JP"/>
        </w:rPr>
        <w:t>oc</w:t>
      </w:r>
      <w:r w:rsidRPr="007D2212">
        <w:rPr>
          <w:i/>
        </w:rPr>
        <w:t>era</w:t>
      </w:r>
      <w:r w:rsidRPr="007D2212">
        <w:rPr>
          <w:rFonts w:eastAsiaTheme="minorEastAsia"/>
          <w:i/>
          <w:lang w:eastAsia="ja-JP"/>
        </w:rPr>
        <w:t xml:space="preserve"> </w:t>
      </w:r>
      <w:r w:rsidRPr="007D2212">
        <w:rPr>
          <w:i/>
        </w:rPr>
        <w:t>invadens</w:t>
      </w:r>
      <w:r w:rsidRPr="007D2212">
        <w:rPr>
          <w:rFonts w:eastAsiaTheme="minorEastAsia"/>
          <w:lang w:eastAsia="ja-JP"/>
        </w:rPr>
        <w:t xml:space="preserve"> </w:t>
      </w:r>
      <w:r w:rsidRPr="007D2212">
        <w:t xml:space="preserve">(Diptera: Tephritidae) is the same species as the oriental fruit fly </w:t>
      </w:r>
      <w:r w:rsidRPr="007D2212">
        <w:rPr>
          <w:i/>
        </w:rPr>
        <w:t>Bactrocera dorsalis</w:t>
      </w:r>
      <w:r w:rsidRPr="007D2212">
        <w:t xml:space="preserve">. </w:t>
      </w:r>
      <w:r w:rsidRPr="007D2212">
        <w:rPr>
          <w:i/>
        </w:rPr>
        <w:t>Systematic Entomology</w:t>
      </w:r>
      <w:r w:rsidRPr="007D2212">
        <w:t>, 40: 472–486.</w:t>
      </w:r>
    </w:p>
    <w:p w14:paraId="649F0B14" w14:textId="5C714D02" w:rsidR="00612969" w:rsidRPr="007D2212" w:rsidRDefault="00E97743">
      <w:pPr>
        <w:pStyle w:val="IPPNormal"/>
      </w:pPr>
      <w:r w:rsidRPr="007D2212">
        <w:rPr>
          <w:rStyle w:val="PleaseReviewParagraphId"/>
        </w:rPr>
        <w:t>[495]</w:t>
      </w:r>
      <w:r w:rsidRPr="007D2212">
        <w:rPr>
          <w:b/>
        </w:rPr>
        <w:t>Vargas, R.I., Piñero, J.C. &amp; Leblanc, L.</w:t>
      </w:r>
      <w:r w:rsidRPr="007D2212">
        <w:t xml:space="preserve"> 2015. An overview of pest species of </w:t>
      </w:r>
      <w:r w:rsidRPr="007D2212">
        <w:rPr>
          <w:i/>
        </w:rPr>
        <w:t>Bactrocera</w:t>
      </w:r>
      <w:r w:rsidRPr="007D2212">
        <w:t xml:space="preserve"> fruit flies (Diptera: Tephritidae) and the integration of biopesticides with other biological approaches for their management with a focus on the Pacific region. </w:t>
      </w:r>
      <w:r w:rsidRPr="007D2212">
        <w:rPr>
          <w:i/>
        </w:rPr>
        <w:t>Insects</w:t>
      </w:r>
      <w:r w:rsidRPr="007D2212">
        <w:t>, 6: 297–318.</w:t>
      </w:r>
    </w:p>
    <w:p w14:paraId="4478ED62" w14:textId="77777777" w:rsidR="00612969" w:rsidRPr="007D2212" w:rsidRDefault="00E97743">
      <w:pPr>
        <w:pStyle w:val="IPPNormal"/>
      </w:pPr>
      <w:r w:rsidRPr="007D2212">
        <w:rPr>
          <w:rStyle w:val="PleaseReviewParagraphId"/>
        </w:rPr>
        <w:t>[496]</w:t>
      </w:r>
      <w:r w:rsidRPr="007D2212">
        <w:rPr>
          <w:b/>
        </w:rPr>
        <w:t>White, I.M.</w:t>
      </w:r>
      <w:r w:rsidRPr="007D2212">
        <w:t xml:space="preserve"> 2006. </w:t>
      </w:r>
      <w:r w:rsidRPr="007D2212">
        <w:rPr>
          <w:i/>
        </w:rPr>
        <w:t>Taxonomy of the Dacina (Diptera: Tephritidae) of Africa and the Middle East</w:t>
      </w:r>
      <w:r w:rsidRPr="007D2212">
        <w:t>. African Entomology Memoirs 2. Hatfield, South Africa, Entomological Society of Southern Africa. 156 pp.</w:t>
      </w:r>
    </w:p>
    <w:p w14:paraId="6E37B0C0" w14:textId="77777777" w:rsidR="00612969" w:rsidRPr="007D2212" w:rsidRDefault="00E97743">
      <w:pPr>
        <w:pStyle w:val="IPPNormal"/>
      </w:pPr>
      <w:r w:rsidRPr="007D2212">
        <w:rPr>
          <w:rStyle w:val="PleaseReviewParagraphId"/>
        </w:rPr>
        <w:t>[497]</w:t>
      </w:r>
      <w:r w:rsidRPr="007D2212">
        <w:rPr>
          <w:b/>
        </w:rPr>
        <w:t>White, I.M. &amp; Elson-Harris, M.M.</w:t>
      </w:r>
      <w:r w:rsidRPr="007D2212">
        <w:t xml:space="preserve"> 199</w:t>
      </w:r>
      <w:r w:rsidRPr="007D2212">
        <w:rPr>
          <w:rFonts w:eastAsiaTheme="minorEastAsia"/>
          <w:lang w:eastAsia="ja-JP"/>
        </w:rPr>
        <w:t>2</w:t>
      </w:r>
      <w:r w:rsidRPr="007D2212">
        <w:t xml:space="preserve">. </w:t>
      </w:r>
      <w:r w:rsidRPr="007D2212">
        <w:rPr>
          <w:i/>
          <w:iCs/>
        </w:rPr>
        <w:t>Fruit flies of economic significance: Their identification and bionomics.</w:t>
      </w:r>
      <w:r w:rsidRPr="007D2212">
        <w:t xml:space="preserve"> Wallingford, UK, CABI. 600 pp.</w:t>
      </w:r>
    </w:p>
    <w:p w14:paraId="6984A205" w14:textId="77777777" w:rsidR="00612969" w:rsidRPr="007D2212" w:rsidRDefault="00E97743">
      <w:pPr>
        <w:pStyle w:val="IPPNormal"/>
      </w:pPr>
      <w:r w:rsidRPr="007D2212">
        <w:rPr>
          <w:rStyle w:val="PleaseReviewParagraphId"/>
        </w:rPr>
        <w:t>[498]</w:t>
      </w:r>
      <w:r w:rsidRPr="007D2212">
        <w:rPr>
          <w:b/>
        </w:rPr>
        <w:t>White, I.M. &amp; Hancock, D.L.</w:t>
      </w:r>
      <w:r w:rsidRPr="007D2212">
        <w:t xml:space="preserve"> 1997. </w:t>
      </w:r>
      <w:r w:rsidRPr="007D2212">
        <w:rPr>
          <w:i/>
          <w:iCs/>
        </w:rPr>
        <w:t>CABIKEY (Computer aided biological identification key) to the Indo-Australasian Dacini fruit flies</w:t>
      </w:r>
      <w:r w:rsidRPr="007D2212">
        <w:t>. London, International Institute of Entomology. CD-ROM.</w:t>
      </w:r>
    </w:p>
    <w:p w14:paraId="204885CA" w14:textId="77777777" w:rsidR="00612969" w:rsidRPr="007D2212" w:rsidRDefault="00E97743">
      <w:pPr>
        <w:pStyle w:val="IPPHeading1"/>
      </w:pPr>
      <w:r w:rsidRPr="007D2212">
        <w:rPr>
          <w:rStyle w:val="PleaseReviewParagraphId"/>
          <w:b w:val="0"/>
        </w:rPr>
        <w:t>[499]</w:t>
      </w:r>
      <w:r w:rsidRPr="007D2212">
        <w:t>9.</w:t>
      </w:r>
      <w:r w:rsidRPr="007D2212">
        <w:tab/>
        <w:t>Figures</w:t>
      </w:r>
    </w:p>
    <w:p w14:paraId="19416669" w14:textId="77777777" w:rsidR="00612969" w:rsidRPr="007D2212" w:rsidRDefault="00E97743">
      <w:r w:rsidRPr="007D2212">
        <w:rPr>
          <w:rStyle w:val="PleaseReviewParagraphId"/>
        </w:rPr>
        <w:t>[500]</w:t>
      </w:r>
      <w:r w:rsidRPr="007D2212">
        <w:rPr>
          <w:noProof/>
          <w:lang w:val="en-US"/>
        </w:rPr>
        <w:drawing>
          <wp:inline distT="0" distB="0" distL="0" distR="0" wp14:anchorId="7996589C" wp14:editId="17D24758">
            <wp:extent cx="2736850" cy="2935287"/>
            <wp:effectExtent l="0" t="0" r="6350" b="0"/>
            <wp:docPr id="205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図 10"/>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36850" cy="29352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D027D51" w14:textId="46A59BE2" w:rsidR="00612969" w:rsidRPr="007D2212" w:rsidRDefault="00E97743">
      <w:pPr>
        <w:pStyle w:val="IPPArial"/>
      </w:pPr>
      <w:r w:rsidRPr="007D2212">
        <w:rPr>
          <w:rStyle w:val="PleaseReviewParagraphId"/>
        </w:rPr>
        <w:t>[501]</w:t>
      </w:r>
      <w:r w:rsidRPr="007D2212">
        <w:rPr>
          <w:b/>
        </w:rPr>
        <w:t>Figure 1.</w:t>
      </w:r>
      <w:r w:rsidRPr="007D2212">
        <w:t xml:space="preserve"> </w:t>
      </w:r>
      <w:r w:rsidRPr="007D2212">
        <w:rPr>
          <w:i/>
          <w:iCs/>
        </w:rPr>
        <w:t>Bactrocera dorsalis</w:t>
      </w:r>
      <w:r w:rsidR="007161B5" w:rsidRPr="007D2212">
        <w:rPr>
          <w:i/>
          <w:iCs/>
        </w:rPr>
        <w:t xml:space="preserve"> s.l.</w:t>
      </w:r>
      <w:r w:rsidRPr="00A4522D">
        <w:rPr>
          <w:iCs/>
        </w:rPr>
        <w:t>,</w:t>
      </w:r>
      <w:r w:rsidRPr="007D2212">
        <w:rPr>
          <w:i/>
          <w:iCs/>
        </w:rPr>
        <w:t xml:space="preserve"> </w:t>
      </w:r>
      <w:r w:rsidRPr="007D2212">
        <w:t>female (habitus)</w:t>
      </w:r>
      <w:r w:rsidR="00AF1B3C">
        <w:t>.</w:t>
      </w:r>
    </w:p>
    <w:p w14:paraId="638E8EF3" w14:textId="6EC64082" w:rsidR="00612969" w:rsidRPr="007D2212" w:rsidRDefault="00E97743" w:rsidP="00A4522D">
      <w:pPr>
        <w:pStyle w:val="IPPArial"/>
      </w:pPr>
      <w:r w:rsidRPr="007D2212">
        <w:rPr>
          <w:rStyle w:val="PleaseReviewParagraphId"/>
        </w:rPr>
        <w:t>[502]</w:t>
      </w:r>
      <w:r w:rsidRPr="00A4522D">
        <w:rPr>
          <w:i/>
        </w:rPr>
        <w:t>Source: Photo courtesy of Yokohama Plant Protection Station, Ministry of Agriculture, Forestry and Fisheries, Japan</w:t>
      </w:r>
      <w:r w:rsidR="00AF1B3C" w:rsidRPr="00A4522D">
        <w:rPr>
          <w:i/>
        </w:rPr>
        <w:t>.</w:t>
      </w:r>
    </w:p>
    <w:p w14:paraId="6F0EEA4C" w14:textId="77777777" w:rsidR="00612969" w:rsidRPr="007D2212" w:rsidRDefault="00E97743">
      <w:r w:rsidRPr="007D2212">
        <w:rPr>
          <w:rStyle w:val="PleaseReviewParagraphId"/>
        </w:rPr>
        <w:t>[503]</w:t>
      </w:r>
      <w:r w:rsidRPr="007D2212">
        <w:br w:type="page"/>
      </w:r>
    </w:p>
    <w:p w14:paraId="2A3F66A3" w14:textId="77777777" w:rsidR="00612969" w:rsidRPr="007D2212" w:rsidRDefault="00E97743">
      <w:r w:rsidRPr="007D2212">
        <w:rPr>
          <w:rStyle w:val="PleaseReviewParagraphId"/>
        </w:rPr>
        <w:lastRenderedPageBreak/>
        <w:t>[504]</w:t>
      </w:r>
      <w:r w:rsidRPr="007D2212">
        <w:rPr>
          <w:noProof/>
          <w:lang w:val="en-US"/>
        </w:rPr>
        <w:drawing>
          <wp:inline distT="0" distB="0" distL="0" distR="0" wp14:anchorId="7907B962" wp14:editId="385FCA35">
            <wp:extent cx="5158740" cy="504444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58740" cy="5044440"/>
                    </a:xfrm>
                    <a:prstGeom prst="rect">
                      <a:avLst/>
                    </a:prstGeom>
                    <a:noFill/>
                    <a:ln>
                      <a:noFill/>
                    </a:ln>
                  </pic:spPr>
                </pic:pic>
              </a:graphicData>
            </a:graphic>
          </wp:inline>
        </w:drawing>
      </w:r>
    </w:p>
    <w:p w14:paraId="5D514CF6" w14:textId="554D5F72" w:rsidR="00612969" w:rsidRPr="007D2212" w:rsidRDefault="00E97743">
      <w:pPr>
        <w:pStyle w:val="IPPArial"/>
      </w:pPr>
      <w:r w:rsidRPr="007D2212">
        <w:rPr>
          <w:rStyle w:val="PleaseReviewParagraphId"/>
        </w:rPr>
        <w:t>[505]</w:t>
      </w:r>
      <w:r w:rsidRPr="007D2212">
        <w:rPr>
          <w:b/>
        </w:rPr>
        <w:t>Figure 2.</w:t>
      </w:r>
      <w:r w:rsidRPr="007D2212">
        <w:t xml:space="preserve"> Immature stages of </w:t>
      </w:r>
      <w:r w:rsidRPr="007D2212">
        <w:rPr>
          <w:i/>
          <w:iCs/>
        </w:rPr>
        <w:t>Bactrocera dorsalis</w:t>
      </w:r>
      <w:r w:rsidR="00523AE0">
        <w:rPr>
          <w:i/>
          <w:iCs/>
        </w:rPr>
        <w:t xml:space="preserve"> s.l.</w:t>
      </w:r>
      <w:r w:rsidRPr="007D2212">
        <w:rPr>
          <w:iCs/>
        </w:rPr>
        <w:t>:</w:t>
      </w:r>
      <w:r w:rsidRPr="007D2212">
        <w:rPr>
          <w:i/>
          <w:iCs/>
        </w:rPr>
        <w:t xml:space="preserve"> </w:t>
      </w:r>
      <w:r w:rsidRPr="007D2212">
        <w:rPr>
          <w:iCs/>
        </w:rPr>
        <w:t>(</w:t>
      </w:r>
      <w:r w:rsidRPr="007D2212">
        <w:t xml:space="preserve">a) egg; (b) first instar larva; (c) second instar larva; (d) third instar larva; (e) puparium; (f) pupa.  </w:t>
      </w:r>
    </w:p>
    <w:p w14:paraId="130259BA" w14:textId="77777777" w:rsidR="00612969" w:rsidRPr="007D2212" w:rsidRDefault="00E97743" w:rsidP="00A4522D">
      <w:pPr>
        <w:pStyle w:val="IPPArial"/>
      </w:pPr>
      <w:r w:rsidRPr="007D2212">
        <w:rPr>
          <w:rStyle w:val="PleaseReviewParagraphId"/>
        </w:rPr>
        <w:t>[506]</w:t>
      </w:r>
      <w:r w:rsidRPr="00A4522D">
        <w:rPr>
          <w:i/>
        </w:rPr>
        <w:t>Source: Photos courtesy of Yokohama Plant Protection Station, Ministry of Agriculture, Forestry and Fisheries, Japan.</w:t>
      </w:r>
      <w:r w:rsidRPr="007D2212">
        <w:br w:type="page"/>
      </w:r>
    </w:p>
    <w:p w14:paraId="5C38FEAC" w14:textId="77777777" w:rsidR="00612969" w:rsidRPr="00A4522D" w:rsidRDefault="00E97743">
      <w:pPr>
        <w:rPr>
          <w:lang w:val="es-ES"/>
        </w:rPr>
      </w:pPr>
      <w:r w:rsidRPr="00A4522D">
        <w:rPr>
          <w:rStyle w:val="PleaseReviewParagraphId"/>
          <w:lang w:val="es-ES"/>
        </w:rPr>
        <w:lastRenderedPageBreak/>
        <w:t>[507]</w:t>
      </w:r>
      <w:r w:rsidRPr="007D2212">
        <w:rPr>
          <w:noProof/>
          <w:lang w:val="en-US"/>
        </w:rPr>
        <w:drawing>
          <wp:inline distT="0" distB="0" distL="0" distR="0" wp14:anchorId="4DDD126B" wp14:editId="3518716E">
            <wp:extent cx="5737860" cy="19964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7860" cy="1996440"/>
                    </a:xfrm>
                    <a:prstGeom prst="rect">
                      <a:avLst/>
                    </a:prstGeom>
                    <a:noFill/>
                    <a:ln>
                      <a:noFill/>
                    </a:ln>
                  </pic:spPr>
                </pic:pic>
              </a:graphicData>
            </a:graphic>
          </wp:inline>
        </w:drawing>
      </w:r>
    </w:p>
    <w:p w14:paraId="118EFEFA" w14:textId="77777777" w:rsidR="00612969" w:rsidRPr="00A4522D" w:rsidRDefault="00E97743">
      <w:pPr>
        <w:pStyle w:val="IPPArial"/>
        <w:rPr>
          <w:lang w:val="es-ES"/>
        </w:rPr>
      </w:pPr>
      <w:r w:rsidRPr="00A4522D">
        <w:rPr>
          <w:rStyle w:val="PleaseReviewParagraphId"/>
          <w:lang w:val="es-ES"/>
        </w:rPr>
        <w:t>[508]</w:t>
      </w:r>
      <w:r w:rsidRPr="00A4522D">
        <w:rPr>
          <w:b/>
          <w:lang w:val="es-ES"/>
        </w:rPr>
        <w:t>Figure 3.</w:t>
      </w:r>
      <w:r w:rsidRPr="00A4522D">
        <w:rPr>
          <w:lang w:val="es-ES"/>
        </w:rPr>
        <w:t xml:space="preserve"> Lateral vittae: (a) </w:t>
      </w:r>
      <w:r w:rsidRPr="00A4522D">
        <w:rPr>
          <w:i/>
          <w:lang w:val="es-ES"/>
        </w:rPr>
        <w:t>Bactrocera carambolae</w:t>
      </w:r>
      <w:r w:rsidRPr="00A4522D">
        <w:rPr>
          <w:lang w:val="es-ES"/>
        </w:rPr>
        <w:t xml:space="preserve">; (b) </w:t>
      </w:r>
      <w:r w:rsidRPr="00A4522D">
        <w:rPr>
          <w:i/>
          <w:lang w:val="es-ES"/>
        </w:rPr>
        <w:t>Bactrocera caryeae</w:t>
      </w:r>
      <w:r w:rsidRPr="00A4522D">
        <w:rPr>
          <w:lang w:val="es-ES"/>
        </w:rPr>
        <w:t xml:space="preserve">; (c) </w:t>
      </w:r>
      <w:r w:rsidRPr="00A4522D">
        <w:rPr>
          <w:i/>
          <w:lang w:val="es-ES"/>
        </w:rPr>
        <w:t>Bactrocera dorsalis</w:t>
      </w:r>
      <w:r w:rsidRPr="00A4522D">
        <w:rPr>
          <w:lang w:val="es-ES"/>
        </w:rPr>
        <w:t xml:space="preserve"> </w:t>
      </w:r>
      <w:r w:rsidRPr="00A4522D">
        <w:rPr>
          <w:i/>
          <w:lang w:val="es-ES"/>
        </w:rPr>
        <w:t>s.l.</w:t>
      </w:r>
      <w:r w:rsidRPr="00A4522D">
        <w:rPr>
          <w:lang w:val="es-ES"/>
        </w:rPr>
        <w:t xml:space="preserve">; (d) </w:t>
      </w:r>
      <w:r w:rsidRPr="00A4522D">
        <w:rPr>
          <w:i/>
          <w:lang w:val="es-ES"/>
        </w:rPr>
        <w:t>Bactrocera kandiensis</w:t>
      </w:r>
      <w:r w:rsidRPr="00A4522D">
        <w:rPr>
          <w:lang w:val="es-ES"/>
        </w:rPr>
        <w:t>; (e</w:t>
      </w:r>
      <w:r w:rsidRPr="00A4522D">
        <w:rPr>
          <w:i/>
          <w:lang w:val="es-ES"/>
        </w:rPr>
        <w:t>) Bactrocera occipitalis</w:t>
      </w:r>
      <w:r w:rsidRPr="00A4522D">
        <w:rPr>
          <w:lang w:val="es-ES"/>
        </w:rPr>
        <w:t xml:space="preserve">; (f) </w:t>
      </w:r>
      <w:r w:rsidRPr="00A4522D">
        <w:rPr>
          <w:i/>
          <w:lang w:val="es-ES"/>
        </w:rPr>
        <w:t>Bactrocera pyrifoliae</w:t>
      </w:r>
      <w:r w:rsidRPr="00A4522D">
        <w:rPr>
          <w:lang w:val="es-ES"/>
        </w:rPr>
        <w:t xml:space="preserve">.  </w:t>
      </w:r>
    </w:p>
    <w:p w14:paraId="35D88547" w14:textId="77777777" w:rsidR="00612969" w:rsidRPr="007D2212" w:rsidRDefault="00E97743" w:rsidP="00A4522D">
      <w:pPr>
        <w:pStyle w:val="IPPArial"/>
      </w:pPr>
      <w:r w:rsidRPr="007D2212">
        <w:rPr>
          <w:rStyle w:val="PleaseReviewParagraphId"/>
        </w:rPr>
        <w:t>[509]</w:t>
      </w:r>
      <w:r w:rsidRPr="00A4522D">
        <w:rPr>
          <w:i/>
        </w:rPr>
        <w:t>Source: Photos courtesy of Yokohama Plant Protection Station, Ministry of Agriculture, Forestry and Fisheries, Japan.</w:t>
      </w:r>
      <w:r w:rsidRPr="007D2212">
        <w:br w:type="page"/>
      </w:r>
    </w:p>
    <w:p w14:paraId="4E7DC112" w14:textId="50401CF7" w:rsidR="00612969" w:rsidRPr="007D2212" w:rsidRDefault="00E97743">
      <w:pPr>
        <w:rPr>
          <w:rStyle w:val="PleaseReviewParagraphId"/>
        </w:rPr>
      </w:pPr>
      <w:r w:rsidRPr="007D2212">
        <w:rPr>
          <w:rStyle w:val="PleaseReviewParagraphId"/>
        </w:rPr>
        <w:lastRenderedPageBreak/>
        <w:t>[510]</w:t>
      </w:r>
    </w:p>
    <w:p w14:paraId="353E85DC" w14:textId="669BB20F" w:rsidR="00E60B38" w:rsidRDefault="00E60B38"/>
    <w:p w14:paraId="083231CE" w14:textId="0C85084A" w:rsidR="00A67218" w:rsidRDefault="00A67218"/>
    <w:p w14:paraId="4A99AF97" w14:textId="0B88C567" w:rsidR="00A67218" w:rsidRDefault="00A67218"/>
    <w:p w14:paraId="779C9528" w14:textId="08598EC0" w:rsidR="00424C77" w:rsidRPr="007D2212" w:rsidRDefault="00424C77">
      <w:r>
        <w:rPr>
          <w:noProof/>
          <w:lang w:val="en-US"/>
        </w:rPr>
        <w:drawing>
          <wp:inline distT="0" distB="0" distL="0" distR="0" wp14:anchorId="6DEC8CB3" wp14:editId="231EE239">
            <wp:extent cx="5951220" cy="3086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51220" cy="3086100"/>
                    </a:xfrm>
                    <a:prstGeom prst="rect">
                      <a:avLst/>
                    </a:prstGeom>
                    <a:noFill/>
                  </pic:spPr>
                </pic:pic>
              </a:graphicData>
            </a:graphic>
          </wp:inline>
        </w:drawing>
      </w:r>
    </w:p>
    <w:p w14:paraId="3AA22010" w14:textId="77777777" w:rsidR="007C75C4" w:rsidRPr="007D2212" w:rsidRDefault="007C75C4"/>
    <w:p w14:paraId="78B4E92A" w14:textId="77777777" w:rsidR="00612969" w:rsidRPr="007D2212" w:rsidRDefault="00E97743">
      <w:pPr>
        <w:pStyle w:val="IPPArial"/>
      </w:pPr>
      <w:r w:rsidRPr="007D2212">
        <w:rPr>
          <w:rStyle w:val="PleaseReviewParagraphId"/>
        </w:rPr>
        <w:t>[511]</w:t>
      </w:r>
      <w:r w:rsidRPr="007D2212">
        <w:rPr>
          <w:b/>
        </w:rPr>
        <w:t>Figure 4.</w:t>
      </w:r>
      <w:r w:rsidRPr="007D2212">
        <w:t xml:space="preserve"> (a) Lateral view of Dacinae thorax. (b) Damaged lateral vitta, showing translucent window. </w:t>
      </w:r>
    </w:p>
    <w:p w14:paraId="4F61EAEA" w14:textId="391F824F" w:rsidR="00612969" w:rsidRPr="007D2212" w:rsidRDefault="00E97743">
      <w:r w:rsidRPr="007D2212">
        <w:rPr>
          <w:rStyle w:val="PleaseReviewParagraphId"/>
        </w:rPr>
        <w:t>[512]</w:t>
      </w:r>
      <w:r w:rsidR="00A96205" w:rsidRPr="007D2212">
        <w:t>a</w:t>
      </w:r>
      <w:r w:rsidRPr="007D2212">
        <w:t xml:space="preserve">pl., </w:t>
      </w:r>
      <w:r w:rsidR="00A96205" w:rsidRPr="007D2212">
        <w:t xml:space="preserve">anepisternal </w:t>
      </w:r>
      <w:r w:rsidRPr="007D2212">
        <w:t>bristle.</w:t>
      </w:r>
    </w:p>
    <w:p w14:paraId="7A7DFA2E" w14:textId="77777777" w:rsidR="00612969" w:rsidRPr="007D2212" w:rsidRDefault="00E97743" w:rsidP="00A4522D">
      <w:pPr>
        <w:pStyle w:val="IPPArial"/>
      </w:pPr>
      <w:r w:rsidRPr="007D2212">
        <w:rPr>
          <w:rStyle w:val="PleaseReviewParagraphId"/>
        </w:rPr>
        <w:t>[513]</w:t>
      </w:r>
      <w:r w:rsidRPr="00A4522D">
        <w:rPr>
          <w:i/>
        </w:rPr>
        <w:t>Source: Photo and line drawing courtesy of Yokohama Plant Protection Station, Ministry of Agriculture, Forestry and Fisheries, Japan.</w:t>
      </w:r>
      <w:r w:rsidRPr="007D2212">
        <w:br w:type="page"/>
      </w:r>
    </w:p>
    <w:p w14:paraId="4DF3BB7C" w14:textId="77777777" w:rsidR="00612969" w:rsidRPr="007D2212" w:rsidRDefault="00E97743">
      <w:r w:rsidRPr="007D2212">
        <w:rPr>
          <w:rStyle w:val="PleaseReviewParagraphId"/>
        </w:rPr>
        <w:lastRenderedPageBreak/>
        <w:t>[514]</w:t>
      </w:r>
      <w:r w:rsidRPr="007D2212">
        <w:rPr>
          <w:noProof/>
          <w:lang w:val="en-US"/>
        </w:rPr>
        <w:drawing>
          <wp:inline distT="0" distB="0" distL="0" distR="0" wp14:anchorId="5FACB89A" wp14:editId="0032CFD4">
            <wp:extent cx="5821680" cy="4480560"/>
            <wp:effectExtent l="0" t="0" r="0" b="0"/>
            <wp:docPr id="6149" name="Picture 6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21680" cy="4480560"/>
                    </a:xfrm>
                    <a:prstGeom prst="rect">
                      <a:avLst/>
                    </a:prstGeom>
                    <a:noFill/>
                    <a:ln>
                      <a:noFill/>
                    </a:ln>
                  </pic:spPr>
                </pic:pic>
              </a:graphicData>
            </a:graphic>
          </wp:inline>
        </w:drawing>
      </w:r>
    </w:p>
    <w:p w14:paraId="1A6C58CB" w14:textId="661EA38A" w:rsidR="00612969" w:rsidRPr="007D2212" w:rsidRDefault="00E97743">
      <w:pPr>
        <w:pStyle w:val="IPPArial"/>
      </w:pPr>
      <w:r w:rsidRPr="007D2212">
        <w:rPr>
          <w:rStyle w:val="PleaseReviewParagraphId"/>
        </w:rPr>
        <w:t>[515]</w:t>
      </w:r>
      <w:r w:rsidRPr="007D2212">
        <w:rPr>
          <w:b/>
        </w:rPr>
        <w:t>Figure 5.</w:t>
      </w:r>
      <w:r w:rsidRPr="007D2212">
        <w:t xml:space="preserve"> Dacinae abdomen: (a) female in dorsal view; </w:t>
      </w:r>
      <w:r w:rsidRPr="007D2212">
        <w:rPr>
          <w:iCs/>
        </w:rPr>
        <w:t>(</w:t>
      </w:r>
      <w:r w:rsidRPr="007D2212">
        <w:t>b) genitalia (fully extended). syntg 1</w:t>
      </w:r>
      <w:r w:rsidR="00402C1C">
        <w:t> </w:t>
      </w:r>
      <w:r w:rsidRPr="007D2212">
        <w:t>+</w:t>
      </w:r>
      <w:r w:rsidR="00402C1C">
        <w:t> </w:t>
      </w:r>
      <w:r w:rsidRPr="007D2212">
        <w:t>2, syntergites 1</w:t>
      </w:r>
      <w:r w:rsidR="00402C1C">
        <w:t> </w:t>
      </w:r>
      <w:r w:rsidRPr="007D2212">
        <w:t>+</w:t>
      </w:r>
      <w:r w:rsidR="00402C1C">
        <w:t> </w:t>
      </w:r>
      <w:r w:rsidRPr="007D2212">
        <w:t>2; tg3, tergite 3; tg4, tergite 4; tg5, tergite 5; ovscp, oviscape; ev memb, eversible membrane; acul, aculeus; cm, ceromata.</w:t>
      </w:r>
    </w:p>
    <w:p w14:paraId="499727EE" w14:textId="70AE2211" w:rsidR="00612969" w:rsidRPr="007D2212" w:rsidRDefault="00E97743" w:rsidP="00A4522D">
      <w:pPr>
        <w:pStyle w:val="IPPArial"/>
      </w:pPr>
      <w:r w:rsidRPr="007D2212">
        <w:rPr>
          <w:rStyle w:val="PleaseReviewParagraphId"/>
        </w:rPr>
        <w:t>[516]</w:t>
      </w:r>
      <w:r w:rsidRPr="00A4522D">
        <w:rPr>
          <w:i/>
        </w:rPr>
        <w:t>Source: Line drawing (a) adapted from Ito (1988) and photo (b) courtesy of Yokohama Plant Protection Station, Ministry of Agriculture, Forestry and Fisheries, Japan.</w:t>
      </w:r>
      <w:r w:rsidRPr="007D2212">
        <w:br w:type="page"/>
      </w:r>
    </w:p>
    <w:p w14:paraId="46E3BA8A" w14:textId="77777777" w:rsidR="00612969" w:rsidRPr="007D2212" w:rsidRDefault="00E97743">
      <w:r w:rsidRPr="007D2212">
        <w:rPr>
          <w:rStyle w:val="PleaseReviewParagraphId"/>
        </w:rPr>
        <w:lastRenderedPageBreak/>
        <w:t>[517]</w:t>
      </w:r>
      <w:r w:rsidRPr="007D2212">
        <w:rPr>
          <w:noProof/>
          <w:lang w:val="en-US"/>
        </w:rPr>
        <w:drawing>
          <wp:inline distT="0" distB="0" distL="0" distR="0" wp14:anchorId="385BB05D" wp14:editId="3089AA0B">
            <wp:extent cx="5943600" cy="5790640"/>
            <wp:effectExtent l="0" t="0" r="0" b="0"/>
            <wp:docPr id="6151" name="Picture 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5790640"/>
                    </a:xfrm>
                    <a:prstGeom prst="rect">
                      <a:avLst/>
                    </a:prstGeom>
                    <a:noFill/>
                    <a:ln>
                      <a:noFill/>
                    </a:ln>
                  </pic:spPr>
                </pic:pic>
              </a:graphicData>
            </a:graphic>
          </wp:inline>
        </w:drawing>
      </w:r>
    </w:p>
    <w:p w14:paraId="29781B3F" w14:textId="2A5E1232" w:rsidR="00612969" w:rsidRPr="007D2212" w:rsidRDefault="00E97743">
      <w:pPr>
        <w:pStyle w:val="IPPArial"/>
      </w:pPr>
      <w:r w:rsidRPr="007D2212">
        <w:rPr>
          <w:rStyle w:val="PleaseReviewParagraphId"/>
        </w:rPr>
        <w:t>[518]</w:t>
      </w:r>
      <w:r w:rsidRPr="007D2212">
        <w:rPr>
          <w:b/>
        </w:rPr>
        <w:t>Figure 6.</w:t>
      </w:r>
      <w:r w:rsidRPr="007D2212">
        <w:t xml:space="preserve"> Dacinae abdomen: (a) male in dorsal view; (b) male in ventral view; (c) epandrium and lateral surstylus, showing short posterior lobe; (d) epandrium and lateral surstylus, showing long posterior lobe. syntg 1</w:t>
      </w:r>
      <w:r w:rsidR="00402C1C">
        <w:t> </w:t>
      </w:r>
      <w:r w:rsidRPr="007D2212">
        <w:t>+</w:t>
      </w:r>
      <w:r w:rsidR="00402C1C">
        <w:t> </w:t>
      </w:r>
      <w:r w:rsidRPr="007D2212">
        <w:t>2, syntergites 1</w:t>
      </w:r>
      <w:r w:rsidR="00402C1C">
        <w:t> </w:t>
      </w:r>
      <w:r w:rsidRPr="007D2212">
        <w:t>+</w:t>
      </w:r>
      <w:r w:rsidR="00402C1C">
        <w:t> </w:t>
      </w:r>
      <w:r w:rsidRPr="007D2212">
        <w:t>2; tg3, tergite 3; tg4, tergite 4; tg5, tergite 5; pect, pecten; cm, ceromata.</w:t>
      </w:r>
    </w:p>
    <w:p w14:paraId="7FBA14ED" w14:textId="77777777" w:rsidR="00612969" w:rsidRPr="007D2212" w:rsidRDefault="00E97743" w:rsidP="00A4522D">
      <w:pPr>
        <w:pStyle w:val="IPPArial"/>
      </w:pPr>
      <w:r w:rsidRPr="007D2212">
        <w:rPr>
          <w:rStyle w:val="PleaseReviewParagraphId"/>
        </w:rPr>
        <w:t>[519]</w:t>
      </w:r>
      <w:r w:rsidRPr="00A4522D">
        <w:rPr>
          <w:i/>
        </w:rPr>
        <w:t>Source: Photos and line drawing courtesy of Yokohama Plant Protection Station, Ministry of Agriculture, Forestry and Fisheries, Japan.</w:t>
      </w:r>
    </w:p>
    <w:p w14:paraId="20C1CE85" w14:textId="5388FF9F" w:rsidR="00612969" w:rsidRPr="007D2212" w:rsidRDefault="00E97743">
      <w:r w:rsidRPr="007D2212">
        <w:rPr>
          <w:rStyle w:val="PleaseReviewParagraphId"/>
        </w:rPr>
        <w:lastRenderedPageBreak/>
        <w:t>[520]</w:t>
      </w:r>
      <w:r w:rsidRPr="007D2212">
        <w:rPr>
          <w:noProof/>
          <w:lang w:val="en-US"/>
        </w:rPr>
        <w:drawing>
          <wp:inline distT="0" distB="0" distL="0" distR="0" wp14:anchorId="2C4D2A16" wp14:editId="2754496A">
            <wp:extent cx="4998995" cy="6013094"/>
            <wp:effectExtent l="0" t="0" r="0" b="6985"/>
            <wp:docPr id="6150" name="Picture 6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01748" cy="6016406"/>
                    </a:xfrm>
                    <a:prstGeom prst="rect">
                      <a:avLst/>
                    </a:prstGeom>
                    <a:noFill/>
                    <a:ln>
                      <a:noFill/>
                    </a:ln>
                  </pic:spPr>
                </pic:pic>
              </a:graphicData>
            </a:graphic>
          </wp:inline>
        </w:drawing>
      </w:r>
    </w:p>
    <w:p w14:paraId="461C990F" w14:textId="668E56F1" w:rsidR="00612969" w:rsidRPr="007D2212" w:rsidRDefault="00E97743">
      <w:pPr>
        <w:pStyle w:val="IPPArial"/>
      </w:pPr>
      <w:r w:rsidRPr="007D2212">
        <w:rPr>
          <w:rStyle w:val="PleaseReviewParagraphId"/>
        </w:rPr>
        <w:t>[521]</w:t>
      </w:r>
      <w:r w:rsidRPr="007D2212">
        <w:rPr>
          <w:b/>
        </w:rPr>
        <w:t>Figure 7.</w:t>
      </w:r>
      <w:r w:rsidRPr="007D2212">
        <w:t xml:space="preserve"> Male abdomen and aedeagus (</w:t>
      </w:r>
      <w:r w:rsidRPr="007D2212">
        <w:rPr>
          <w:i/>
          <w:iCs/>
        </w:rPr>
        <w:t>B. dorsalis</w:t>
      </w:r>
      <w:r w:rsidR="00650828">
        <w:rPr>
          <w:i/>
          <w:iCs/>
        </w:rPr>
        <w:t xml:space="preserve"> s.l.</w:t>
      </w:r>
      <w:r w:rsidRPr="007D2212">
        <w:t xml:space="preserve">): (a) abdomen in ventral view (KOH treated); </w:t>
      </w:r>
      <w:r w:rsidRPr="007D2212">
        <w:rPr>
          <w:iCs/>
        </w:rPr>
        <w:t>(</w:t>
      </w:r>
      <w:r w:rsidRPr="007D2212">
        <w:t xml:space="preserve">b) part of aedeagus appearing rightside (when base of abdomen set upside-down and viewed from ventral side) of epandrium; (c) pulling out aedeagus using hooked micropin; (d) extended aedeagus, showing the part to be measured.  </w:t>
      </w:r>
    </w:p>
    <w:p w14:paraId="5228BEFF" w14:textId="77777777" w:rsidR="00612969" w:rsidRPr="007D2212" w:rsidRDefault="00E97743" w:rsidP="00A4522D">
      <w:pPr>
        <w:pStyle w:val="IPPArial"/>
      </w:pPr>
      <w:r w:rsidRPr="007D2212">
        <w:rPr>
          <w:rStyle w:val="PleaseReviewParagraphId"/>
        </w:rPr>
        <w:t>[522]</w:t>
      </w:r>
      <w:r w:rsidRPr="00A4522D">
        <w:rPr>
          <w:i/>
        </w:rPr>
        <w:t>Source: Photos courtesy of Yokohama Plant Protection Station, Ministry of Agriculture, Forestry and Fisheries, Japan.</w:t>
      </w:r>
      <w:r w:rsidRPr="007D2212">
        <w:br w:type="page"/>
      </w:r>
    </w:p>
    <w:p w14:paraId="003421B8" w14:textId="75ECCF7E" w:rsidR="00612969" w:rsidRPr="007D2212" w:rsidRDefault="00E97743">
      <w:pPr>
        <w:rPr>
          <w:rStyle w:val="PleaseReviewParagraphId"/>
        </w:rPr>
      </w:pPr>
      <w:r w:rsidRPr="007D2212">
        <w:rPr>
          <w:rStyle w:val="PleaseReviewParagraphId"/>
        </w:rPr>
        <w:lastRenderedPageBreak/>
        <w:t>[523]</w:t>
      </w:r>
    </w:p>
    <w:p w14:paraId="6AFE4497" w14:textId="63A140F3" w:rsidR="0017787F" w:rsidRDefault="0017787F"/>
    <w:p w14:paraId="6A670117" w14:textId="10DC0465" w:rsidR="003752F6" w:rsidRPr="007D2212" w:rsidRDefault="003752F6">
      <w:r>
        <w:rPr>
          <w:noProof/>
          <w:lang w:val="en-US"/>
        </w:rPr>
        <w:drawing>
          <wp:inline distT="0" distB="0" distL="0" distR="0" wp14:anchorId="35995DB6" wp14:editId="47A144DF">
            <wp:extent cx="5935980" cy="6606540"/>
            <wp:effectExtent l="0" t="0" r="762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5980" cy="6606540"/>
                    </a:xfrm>
                    <a:prstGeom prst="rect">
                      <a:avLst/>
                    </a:prstGeom>
                    <a:noFill/>
                  </pic:spPr>
                </pic:pic>
              </a:graphicData>
            </a:graphic>
          </wp:inline>
        </w:drawing>
      </w:r>
    </w:p>
    <w:p w14:paraId="379A5044" w14:textId="4B782434" w:rsidR="00612969" w:rsidRPr="007D2212" w:rsidRDefault="00E97743">
      <w:pPr>
        <w:pStyle w:val="IPPArial"/>
      </w:pPr>
      <w:r w:rsidRPr="007D2212">
        <w:rPr>
          <w:rStyle w:val="PleaseReviewParagraphId"/>
        </w:rPr>
        <w:t>[524]</w:t>
      </w:r>
      <w:r w:rsidRPr="007D2212">
        <w:rPr>
          <w:b/>
        </w:rPr>
        <w:t>Figure 8.</w:t>
      </w:r>
      <w:r w:rsidRPr="007D2212">
        <w:t xml:space="preserve"> (a) Lateral view of Dacinae head. (b) Frontal view of Dacinae head. (c) Dorsal view of Dacinae head (vertex). i. or. b</w:t>
      </w:r>
      <w:r w:rsidR="000573DA">
        <w:t>.</w:t>
      </w:r>
      <w:r w:rsidRPr="007D2212">
        <w:t>, inferior fronto-orbital bristles; s. or. b</w:t>
      </w:r>
      <w:r w:rsidR="000573DA">
        <w:t>.</w:t>
      </w:r>
      <w:r w:rsidRPr="007D2212">
        <w:t>, superior fronto-orbital bristles.</w:t>
      </w:r>
    </w:p>
    <w:p w14:paraId="360608DC" w14:textId="77777777" w:rsidR="00612969" w:rsidRPr="007D2212" w:rsidRDefault="00E97743" w:rsidP="00A4522D">
      <w:pPr>
        <w:pStyle w:val="IPPArial"/>
      </w:pPr>
      <w:r w:rsidRPr="007D2212">
        <w:rPr>
          <w:rStyle w:val="PleaseReviewParagraphId"/>
        </w:rPr>
        <w:t>[525]</w:t>
      </w:r>
      <w:r w:rsidRPr="00A4522D">
        <w:rPr>
          <w:i/>
        </w:rPr>
        <w:t>Source: Photo and line drawings courtesy of Yokohama Plant Protection Station, Ministry of Agriculture, Forestry and Fisheries, Japan.</w:t>
      </w:r>
      <w:r w:rsidRPr="007D2212">
        <w:br w:type="page"/>
      </w:r>
    </w:p>
    <w:p w14:paraId="208EB6B1" w14:textId="77777777" w:rsidR="00612969" w:rsidRPr="007D2212" w:rsidRDefault="00E97743">
      <w:r w:rsidRPr="007D2212">
        <w:rPr>
          <w:rStyle w:val="PleaseReviewParagraphId"/>
        </w:rPr>
        <w:lastRenderedPageBreak/>
        <w:t>[526]</w:t>
      </w:r>
    </w:p>
    <w:p w14:paraId="1E0364D1" w14:textId="77777777" w:rsidR="00612969" w:rsidRPr="007D2212" w:rsidRDefault="00E97743">
      <w:r w:rsidRPr="007D2212">
        <w:rPr>
          <w:rStyle w:val="PleaseReviewParagraphId"/>
        </w:rPr>
        <w:t>[527]</w:t>
      </w:r>
      <w:r w:rsidRPr="007D2212">
        <w:rPr>
          <w:noProof/>
          <w:lang w:val="en-US"/>
        </w:rPr>
        <w:drawing>
          <wp:inline distT="0" distB="0" distL="0" distR="0" wp14:anchorId="1858652F" wp14:editId="122E7D57">
            <wp:extent cx="5086350" cy="476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86350" cy="4762500"/>
                    </a:xfrm>
                    <a:prstGeom prst="rect">
                      <a:avLst/>
                    </a:prstGeom>
                    <a:noFill/>
                    <a:ln>
                      <a:noFill/>
                    </a:ln>
                  </pic:spPr>
                </pic:pic>
              </a:graphicData>
            </a:graphic>
          </wp:inline>
        </w:drawing>
      </w:r>
    </w:p>
    <w:p w14:paraId="033F6877" w14:textId="656425BD" w:rsidR="00612969" w:rsidRPr="007D2212" w:rsidRDefault="00E97743">
      <w:pPr>
        <w:pStyle w:val="IPPArial"/>
        <w:spacing w:after="240"/>
      </w:pPr>
      <w:r w:rsidRPr="007D2212">
        <w:rPr>
          <w:rStyle w:val="PleaseReviewParagraphId"/>
        </w:rPr>
        <w:t>[528]</w:t>
      </w:r>
      <w:r w:rsidRPr="007D2212">
        <w:rPr>
          <w:b/>
        </w:rPr>
        <w:t>Figure 9.</w:t>
      </w:r>
      <w:r w:rsidRPr="007D2212">
        <w:t xml:space="preserve"> Wing of Dacinae</w:t>
      </w:r>
      <w:r w:rsidR="00963CC6" w:rsidRPr="007D2212">
        <w:t xml:space="preserve"> (top) with a magnified view of </w:t>
      </w:r>
      <w:r w:rsidR="0017787F" w:rsidRPr="007D2212">
        <w:t xml:space="preserve">c and bc </w:t>
      </w:r>
      <w:r w:rsidR="00963CC6" w:rsidRPr="007D2212">
        <w:t xml:space="preserve">cells </w:t>
      </w:r>
      <w:r w:rsidR="006476D2" w:rsidRPr="007D2212">
        <w:t>marked by</w:t>
      </w:r>
      <w:r w:rsidR="00963CC6" w:rsidRPr="007D2212">
        <w:t xml:space="preserve"> asterisk (bottom)</w:t>
      </w:r>
      <w:r w:rsidRPr="007D2212">
        <w:t>. Veins: A</w:t>
      </w:r>
      <w:r w:rsidRPr="007D2212">
        <w:rPr>
          <w:vertAlign w:val="subscript"/>
        </w:rPr>
        <w:t>1</w:t>
      </w:r>
      <w:r w:rsidRPr="007D2212">
        <w:t>, branch of anal vein; C, costa; CuA</w:t>
      </w:r>
      <w:r w:rsidRPr="007D2212">
        <w:rPr>
          <w:vertAlign w:val="subscript"/>
        </w:rPr>
        <w:t>1</w:t>
      </w:r>
      <w:r w:rsidRPr="007D2212">
        <w:t>, CuA</w:t>
      </w:r>
      <w:r w:rsidRPr="007D2212">
        <w:rPr>
          <w:vertAlign w:val="subscript"/>
        </w:rPr>
        <w:t>2</w:t>
      </w:r>
      <w:r w:rsidRPr="007D2212">
        <w:t>, anterior branches of cubitus; M, media; R</w:t>
      </w:r>
      <w:r w:rsidRPr="007D2212">
        <w:rPr>
          <w:vertAlign w:val="subscript"/>
        </w:rPr>
        <w:t>1</w:t>
      </w:r>
      <w:r w:rsidRPr="007D2212">
        <w:t>, anterior branch of radius; R</w:t>
      </w:r>
      <w:r w:rsidRPr="007D2212">
        <w:rPr>
          <w:vertAlign w:val="subscript"/>
        </w:rPr>
        <w:t>2+3</w:t>
      </w:r>
      <w:r w:rsidRPr="007D2212">
        <w:t>, R</w:t>
      </w:r>
      <w:r w:rsidRPr="007D2212">
        <w:rPr>
          <w:vertAlign w:val="subscript"/>
        </w:rPr>
        <w:t>4+5</w:t>
      </w:r>
      <w:r w:rsidRPr="007D2212">
        <w:t xml:space="preserve">, combined posterior branches of radius; Sc, subcosta; bm-cu = basal medial-cubital crossvein; dm-cu, discal medial-cubital crossvein; r-m, radial-medial crossvein. </w:t>
      </w:r>
      <w:r w:rsidRPr="00A4522D">
        <w:rPr>
          <w:lang w:val="es-ES"/>
        </w:rPr>
        <w:t xml:space="preserve">Cells: bc, basal costal; c, costal; sc, subcostal; bm, basal medial; br, basal radial; cup, posterior cubital; dm, discal medial. </w:t>
      </w:r>
      <w:r w:rsidRPr="007D2212">
        <w:t xml:space="preserve">Anal streak, areas around cup and cup extension indicated </w:t>
      </w:r>
      <w:r w:rsidR="000573DA">
        <w:t xml:space="preserve">by </w:t>
      </w:r>
      <w:r w:rsidRPr="007D2212">
        <w:t xml:space="preserve">red outline. </w:t>
      </w:r>
    </w:p>
    <w:p w14:paraId="32975C19" w14:textId="77777777" w:rsidR="00612969" w:rsidRPr="007D2212" w:rsidRDefault="00E97743" w:rsidP="00A4522D">
      <w:pPr>
        <w:pStyle w:val="IPPArial"/>
      </w:pPr>
      <w:r w:rsidRPr="007D2212">
        <w:rPr>
          <w:rStyle w:val="PleaseReviewParagraphId"/>
        </w:rPr>
        <w:t>[529]</w:t>
      </w:r>
      <w:r w:rsidRPr="00A4522D">
        <w:rPr>
          <w:i/>
        </w:rPr>
        <w:t>Source: Photos courtesy of Yokohama Plant Protection Station, Ministry of Agriculture, Forestry and Fisheries, Japan.</w:t>
      </w:r>
      <w:r w:rsidRPr="007D2212">
        <w:br w:type="page"/>
      </w:r>
    </w:p>
    <w:p w14:paraId="73B4EDC5" w14:textId="77777777" w:rsidR="00612969" w:rsidRPr="007D2212" w:rsidRDefault="00E97743">
      <w:r w:rsidRPr="007D2212">
        <w:rPr>
          <w:rStyle w:val="PleaseReviewParagraphId"/>
        </w:rPr>
        <w:lastRenderedPageBreak/>
        <w:t>[530]</w:t>
      </w:r>
    </w:p>
    <w:p w14:paraId="7F12825E" w14:textId="524318CE" w:rsidR="00612969" w:rsidRDefault="00E97743">
      <w:pPr>
        <w:rPr>
          <w:rStyle w:val="PleaseReviewParagraphId"/>
        </w:rPr>
      </w:pPr>
      <w:r w:rsidRPr="007D2212">
        <w:rPr>
          <w:rStyle w:val="PleaseReviewParagraphId"/>
        </w:rPr>
        <w:t>[531]</w:t>
      </w:r>
    </w:p>
    <w:p w14:paraId="65FEE905" w14:textId="49C357B8" w:rsidR="00A67218" w:rsidRPr="007D2212" w:rsidRDefault="00A67218"/>
    <w:p w14:paraId="463496EE" w14:textId="47E6A3B0" w:rsidR="00424C77" w:rsidRDefault="00424C77">
      <w:pPr>
        <w:pStyle w:val="IPPArial"/>
        <w:spacing w:after="240"/>
        <w:rPr>
          <w:rStyle w:val="PleaseReviewParagraphId"/>
        </w:rPr>
      </w:pPr>
      <w:r>
        <w:rPr>
          <w:rStyle w:val="PleaseReviewParagraphId"/>
          <w:noProof/>
          <w:lang w:val="en-US"/>
        </w:rPr>
        <w:drawing>
          <wp:inline distT="0" distB="0" distL="0" distR="0" wp14:anchorId="5544E4B5" wp14:editId="65810C23">
            <wp:extent cx="5593080" cy="3893820"/>
            <wp:effectExtent l="0" t="0" r="762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93080" cy="3893820"/>
                    </a:xfrm>
                    <a:prstGeom prst="rect">
                      <a:avLst/>
                    </a:prstGeom>
                    <a:noFill/>
                  </pic:spPr>
                </pic:pic>
              </a:graphicData>
            </a:graphic>
          </wp:inline>
        </w:drawing>
      </w:r>
    </w:p>
    <w:p w14:paraId="04204E42" w14:textId="70FE5245" w:rsidR="00612969" w:rsidRPr="007D2212" w:rsidRDefault="00E97743">
      <w:pPr>
        <w:pStyle w:val="IPPArial"/>
        <w:spacing w:after="240"/>
      </w:pPr>
      <w:r w:rsidRPr="007D2212">
        <w:rPr>
          <w:rStyle w:val="PleaseReviewParagraphId"/>
        </w:rPr>
        <w:t>[532]</w:t>
      </w:r>
      <w:r w:rsidRPr="007D2212">
        <w:rPr>
          <w:b/>
        </w:rPr>
        <w:t>Figure 10.</w:t>
      </w:r>
      <w:r w:rsidRPr="007D2212">
        <w:t xml:space="preserve"> Dorsal view of Dacinae thorax. a. sa., anterior supra-alar bristle; ia., intra-alar bristle; a. npl., anterior notopleural bristle; p. npl., posterior notopleural bristle; ppn., postpronotal bristle; prsc., prescutellar bristle; p. sa., posterior supra-alar bristle; sc., scutellar bristle; scp., scapular bristle.</w:t>
      </w:r>
    </w:p>
    <w:p w14:paraId="6666E210" w14:textId="77777777" w:rsidR="00612969" w:rsidRPr="007D2212" w:rsidRDefault="00E97743" w:rsidP="00A4522D">
      <w:pPr>
        <w:pStyle w:val="IPPArial"/>
      </w:pPr>
      <w:r w:rsidRPr="007D2212">
        <w:rPr>
          <w:rStyle w:val="PleaseReviewParagraphId"/>
        </w:rPr>
        <w:t>[533]</w:t>
      </w:r>
      <w:r w:rsidRPr="00A4522D">
        <w:rPr>
          <w:i/>
        </w:rPr>
        <w:t>Source: Line drawing courtesy of Yokohama Plant Protection Station, Ministry of Agriculture, Forestry and Fisheries, Japan.</w:t>
      </w:r>
      <w:r w:rsidRPr="007D2212">
        <w:br w:type="page"/>
      </w:r>
    </w:p>
    <w:p w14:paraId="13FB6079" w14:textId="77777777" w:rsidR="00612969" w:rsidRPr="00A4522D" w:rsidRDefault="00E97743">
      <w:pPr>
        <w:rPr>
          <w:lang w:val="es-ES"/>
        </w:rPr>
      </w:pPr>
      <w:r w:rsidRPr="00A4522D">
        <w:rPr>
          <w:rStyle w:val="PleaseReviewParagraphId"/>
          <w:lang w:val="es-ES"/>
        </w:rPr>
        <w:lastRenderedPageBreak/>
        <w:t>[534]</w:t>
      </w:r>
      <w:r w:rsidRPr="007D2212">
        <w:rPr>
          <w:noProof/>
          <w:lang w:val="en-US"/>
        </w:rPr>
        <w:drawing>
          <wp:inline distT="0" distB="0" distL="0" distR="0" wp14:anchorId="644C36A9" wp14:editId="5AD9E7B4">
            <wp:extent cx="5943600" cy="38765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3876590"/>
                    </a:xfrm>
                    <a:prstGeom prst="rect">
                      <a:avLst/>
                    </a:prstGeom>
                    <a:noFill/>
                    <a:ln>
                      <a:noFill/>
                    </a:ln>
                  </pic:spPr>
                </pic:pic>
              </a:graphicData>
            </a:graphic>
          </wp:inline>
        </w:drawing>
      </w:r>
    </w:p>
    <w:p w14:paraId="2DB0C193" w14:textId="77777777" w:rsidR="00612969" w:rsidRPr="00A4522D" w:rsidRDefault="00E97743">
      <w:pPr>
        <w:pStyle w:val="IPPArial"/>
        <w:spacing w:after="240"/>
        <w:rPr>
          <w:lang w:val="es-ES"/>
        </w:rPr>
      </w:pPr>
      <w:r w:rsidRPr="00A4522D">
        <w:rPr>
          <w:rStyle w:val="PleaseReviewParagraphId"/>
          <w:lang w:val="es-ES"/>
        </w:rPr>
        <w:t>[535]</w:t>
      </w:r>
      <w:r w:rsidRPr="00A4522D">
        <w:rPr>
          <w:b/>
          <w:lang w:val="es-ES"/>
        </w:rPr>
        <w:t>Figure 11.</w:t>
      </w:r>
      <w:r w:rsidRPr="00A4522D">
        <w:rPr>
          <w:lang w:val="es-ES"/>
        </w:rPr>
        <w:t xml:space="preserve"> Head in anterolateral view: (a) </w:t>
      </w:r>
      <w:r w:rsidRPr="00A4522D">
        <w:rPr>
          <w:i/>
          <w:lang w:val="es-ES"/>
        </w:rPr>
        <w:t>Bactrocera carambolae</w:t>
      </w:r>
      <w:r w:rsidRPr="00A4522D">
        <w:rPr>
          <w:lang w:val="es-ES"/>
        </w:rPr>
        <w:t xml:space="preserve">; (b) </w:t>
      </w:r>
      <w:r w:rsidRPr="00A4522D">
        <w:rPr>
          <w:i/>
          <w:lang w:val="es-ES"/>
        </w:rPr>
        <w:t>Bactrocera caryeae</w:t>
      </w:r>
      <w:r w:rsidRPr="00A4522D">
        <w:rPr>
          <w:lang w:val="es-ES"/>
        </w:rPr>
        <w:t xml:space="preserve">; (c) </w:t>
      </w:r>
      <w:r w:rsidRPr="00A4522D">
        <w:rPr>
          <w:i/>
          <w:lang w:val="es-ES"/>
        </w:rPr>
        <w:t>Bactrocera dorsalis s.l.</w:t>
      </w:r>
      <w:r w:rsidRPr="00A4522D">
        <w:rPr>
          <w:lang w:val="es-ES"/>
        </w:rPr>
        <w:t xml:space="preserve">; (d) </w:t>
      </w:r>
      <w:r w:rsidRPr="00A4522D">
        <w:rPr>
          <w:i/>
          <w:lang w:val="es-ES"/>
        </w:rPr>
        <w:t>Bactrocera kandiensis</w:t>
      </w:r>
      <w:r w:rsidRPr="00A4522D">
        <w:rPr>
          <w:lang w:val="es-ES"/>
        </w:rPr>
        <w:t xml:space="preserve">; (e) </w:t>
      </w:r>
      <w:r w:rsidRPr="00A4522D">
        <w:rPr>
          <w:i/>
          <w:lang w:val="es-ES"/>
        </w:rPr>
        <w:t>Bactrocera occipitalis</w:t>
      </w:r>
      <w:r w:rsidRPr="00A4522D">
        <w:rPr>
          <w:lang w:val="es-ES"/>
        </w:rPr>
        <w:t xml:space="preserve">; (f) </w:t>
      </w:r>
      <w:r w:rsidRPr="00A4522D">
        <w:rPr>
          <w:i/>
          <w:lang w:val="es-ES"/>
        </w:rPr>
        <w:t>Bactrocera pyrifoliae</w:t>
      </w:r>
      <w:r w:rsidRPr="00A4522D">
        <w:rPr>
          <w:lang w:val="es-ES"/>
        </w:rPr>
        <w:t>.</w:t>
      </w:r>
    </w:p>
    <w:p w14:paraId="70FEE00B" w14:textId="77777777" w:rsidR="00612969" w:rsidRPr="007D2212" w:rsidRDefault="00E97743" w:rsidP="00A4522D">
      <w:pPr>
        <w:pStyle w:val="IPPArial"/>
      </w:pPr>
      <w:r w:rsidRPr="007D2212">
        <w:rPr>
          <w:rStyle w:val="PleaseReviewParagraphId"/>
        </w:rPr>
        <w:t>[536]</w:t>
      </w:r>
      <w:r w:rsidRPr="00A4522D">
        <w:rPr>
          <w:i/>
        </w:rPr>
        <w:t>Source: Photos courtesy of Yokohama Plant Protection Station, Ministry of Agriculture, Forestry and Fisheries, Japan.</w:t>
      </w:r>
      <w:r w:rsidRPr="007D2212">
        <w:br w:type="page"/>
      </w:r>
    </w:p>
    <w:p w14:paraId="7CE5F64F" w14:textId="77777777" w:rsidR="00612969" w:rsidRPr="00A4522D" w:rsidRDefault="00E97743">
      <w:pPr>
        <w:rPr>
          <w:lang w:val="es-ES"/>
        </w:rPr>
      </w:pPr>
      <w:r w:rsidRPr="00A4522D">
        <w:rPr>
          <w:rStyle w:val="PleaseReviewParagraphId"/>
          <w:lang w:val="es-ES"/>
        </w:rPr>
        <w:lastRenderedPageBreak/>
        <w:t>[537]</w:t>
      </w:r>
      <w:r w:rsidRPr="007D2212">
        <w:rPr>
          <w:noProof/>
          <w:lang w:val="en-US"/>
        </w:rPr>
        <w:drawing>
          <wp:inline distT="0" distB="0" distL="0" distR="0" wp14:anchorId="749ADD52" wp14:editId="7429996F">
            <wp:extent cx="5836920" cy="48920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36920" cy="4892040"/>
                    </a:xfrm>
                    <a:prstGeom prst="rect">
                      <a:avLst/>
                    </a:prstGeom>
                    <a:noFill/>
                    <a:ln>
                      <a:noFill/>
                    </a:ln>
                  </pic:spPr>
                </pic:pic>
              </a:graphicData>
            </a:graphic>
          </wp:inline>
        </w:drawing>
      </w:r>
    </w:p>
    <w:p w14:paraId="1D273FB2" w14:textId="77777777" w:rsidR="00612969" w:rsidRPr="007D2212" w:rsidRDefault="00E97743">
      <w:pPr>
        <w:pStyle w:val="IPPArial"/>
        <w:spacing w:after="240"/>
      </w:pPr>
      <w:r w:rsidRPr="00A4522D">
        <w:rPr>
          <w:rStyle w:val="PleaseReviewParagraphId"/>
          <w:lang w:val="es-ES"/>
        </w:rPr>
        <w:t>[538]</w:t>
      </w:r>
      <w:r w:rsidRPr="00A4522D">
        <w:rPr>
          <w:b/>
          <w:lang w:val="es-ES"/>
        </w:rPr>
        <w:t>Figure 12.</w:t>
      </w:r>
      <w:r w:rsidRPr="00A4522D">
        <w:rPr>
          <w:lang w:val="es-ES"/>
        </w:rPr>
        <w:t xml:space="preserve"> Thorax in dorsal view: (a) </w:t>
      </w:r>
      <w:r w:rsidRPr="00A4522D">
        <w:rPr>
          <w:i/>
          <w:lang w:val="es-ES"/>
        </w:rPr>
        <w:t>Bactrocera carambolae</w:t>
      </w:r>
      <w:r w:rsidRPr="00A4522D">
        <w:rPr>
          <w:lang w:val="es-ES"/>
        </w:rPr>
        <w:t xml:space="preserve">; (b) </w:t>
      </w:r>
      <w:r w:rsidRPr="00A4522D">
        <w:rPr>
          <w:i/>
          <w:lang w:val="es-ES"/>
        </w:rPr>
        <w:t>Bactrocera caryeae</w:t>
      </w:r>
      <w:r w:rsidRPr="00A4522D">
        <w:rPr>
          <w:lang w:val="es-ES"/>
        </w:rPr>
        <w:t xml:space="preserve">; (c) </w:t>
      </w:r>
      <w:r w:rsidRPr="00A4522D">
        <w:rPr>
          <w:i/>
          <w:lang w:val="es-ES"/>
        </w:rPr>
        <w:t>Bactrocera dorsalis s.l.</w:t>
      </w:r>
      <w:r w:rsidRPr="00A4522D">
        <w:rPr>
          <w:lang w:val="es-ES"/>
        </w:rPr>
        <w:t xml:space="preserve">; (d) </w:t>
      </w:r>
      <w:r w:rsidRPr="00A4522D">
        <w:rPr>
          <w:i/>
          <w:lang w:val="es-ES"/>
        </w:rPr>
        <w:t>Bactrocera kandiensis</w:t>
      </w:r>
      <w:r w:rsidRPr="00A4522D">
        <w:rPr>
          <w:lang w:val="es-ES"/>
        </w:rPr>
        <w:t xml:space="preserve">; (e) </w:t>
      </w:r>
      <w:r w:rsidRPr="00A4522D">
        <w:rPr>
          <w:i/>
          <w:lang w:val="es-ES"/>
        </w:rPr>
        <w:t>Bactrocera occipitalis</w:t>
      </w:r>
      <w:r w:rsidRPr="00A4522D">
        <w:rPr>
          <w:lang w:val="es-ES"/>
        </w:rPr>
        <w:t xml:space="preserve">; (f) </w:t>
      </w:r>
      <w:r w:rsidRPr="00A4522D">
        <w:rPr>
          <w:i/>
          <w:lang w:val="es-ES"/>
        </w:rPr>
        <w:t>Bactrocera pyrifoliae</w:t>
      </w:r>
      <w:r w:rsidRPr="00A4522D">
        <w:rPr>
          <w:lang w:val="es-ES"/>
        </w:rPr>
        <w:t xml:space="preserve">. </w:t>
      </w:r>
      <w:r w:rsidRPr="007D2212">
        <w:t>Basal band indicated by red circle in image (a).</w:t>
      </w:r>
    </w:p>
    <w:p w14:paraId="05C3410C" w14:textId="77777777" w:rsidR="00612969" w:rsidRPr="007D2212" w:rsidRDefault="00E97743" w:rsidP="00A4522D">
      <w:pPr>
        <w:pStyle w:val="IPPArial"/>
      </w:pPr>
      <w:r w:rsidRPr="007D2212">
        <w:rPr>
          <w:rStyle w:val="PleaseReviewParagraphId"/>
        </w:rPr>
        <w:t>[539</w:t>
      </w:r>
      <w:r w:rsidRPr="00A4522D">
        <w:rPr>
          <w:rStyle w:val="PleaseReviewParagraphId"/>
          <w:i/>
        </w:rPr>
        <w:t>]</w:t>
      </w:r>
      <w:r w:rsidRPr="00A4522D">
        <w:rPr>
          <w:i/>
        </w:rPr>
        <w:t>Source: Photos courtesy of Yokohama Plant Protection Station, Ministry of Agriculture, Forestry and Fisheries, Japan.</w:t>
      </w:r>
    </w:p>
    <w:p w14:paraId="2EA3115F" w14:textId="67A713B4" w:rsidR="00612969" w:rsidRPr="007D2212" w:rsidRDefault="00E97743">
      <w:pPr>
        <w:rPr>
          <w:rStyle w:val="PleaseReviewParagraphId"/>
        </w:rPr>
      </w:pPr>
      <w:r w:rsidRPr="007D2212">
        <w:rPr>
          <w:rStyle w:val="PleaseReviewParagraphId"/>
        </w:rPr>
        <w:t>[540]</w:t>
      </w:r>
      <w:bookmarkStart w:id="2" w:name="_Hlk479156646"/>
      <w:bookmarkEnd w:id="2"/>
    </w:p>
    <w:p w14:paraId="40DE4333" w14:textId="77777777" w:rsidR="00E60B38" w:rsidRPr="007D2212" w:rsidRDefault="00E60B38"/>
    <w:p w14:paraId="29C4E5A1" w14:textId="77777777" w:rsidR="00E60B38" w:rsidRPr="007D2212" w:rsidRDefault="00E60B38">
      <w:r w:rsidRPr="007D2212">
        <w:rPr>
          <w:noProof/>
          <w:lang w:val="en-US"/>
        </w:rPr>
        <w:lastRenderedPageBreak/>
        <w:drawing>
          <wp:inline distT="0" distB="0" distL="0" distR="0" wp14:anchorId="2F19C5D6" wp14:editId="0AC775C4">
            <wp:extent cx="5846445" cy="3491230"/>
            <wp:effectExtent l="0" t="0" r="1905" b="0"/>
            <wp:docPr id="6166" name="Picture 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46445" cy="3491230"/>
                    </a:xfrm>
                    <a:prstGeom prst="rect">
                      <a:avLst/>
                    </a:prstGeom>
                    <a:noFill/>
                    <a:ln>
                      <a:noFill/>
                    </a:ln>
                  </pic:spPr>
                </pic:pic>
              </a:graphicData>
            </a:graphic>
          </wp:inline>
        </w:drawing>
      </w:r>
    </w:p>
    <w:p w14:paraId="01AA0CC3" w14:textId="1C15266C" w:rsidR="00612969" w:rsidRPr="00997AE4" w:rsidRDefault="00E97743">
      <w:pPr>
        <w:pStyle w:val="IPPArial"/>
        <w:spacing w:after="240"/>
      </w:pPr>
      <w:r w:rsidRPr="00A4522D">
        <w:rPr>
          <w:rStyle w:val="PleaseReviewParagraphId"/>
          <w:lang w:val="es-ES"/>
        </w:rPr>
        <w:t>[541]</w:t>
      </w:r>
      <w:r w:rsidRPr="00A4522D">
        <w:rPr>
          <w:b/>
          <w:lang w:val="es-ES"/>
        </w:rPr>
        <w:t>Figure 13.</w:t>
      </w:r>
      <w:r w:rsidRPr="00A4522D">
        <w:rPr>
          <w:lang w:val="es-ES"/>
        </w:rPr>
        <w:t xml:space="preserve"> Thorax in lateral view: (a) </w:t>
      </w:r>
      <w:r w:rsidRPr="00A4522D">
        <w:rPr>
          <w:i/>
          <w:lang w:val="es-ES"/>
        </w:rPr>
        <w:t>Bactrocera carambolae</w:t>
      </w:r>
      <w:r w:rsidRPr="00A4522D">
        <w:rPr>
          <w:lang w:val="es-ES"/>
        </w:rPr>
        <w:t xml:space="preserve">; (b) </w:t>
      </w:r>
      <w:r w:rsidRPr="00A4522D">
        <w:rPr>
          <w:i/>
          <w:lang w:val="es-ES"/>
        </w:rPr>
        <w:t>Bactrocera caryeae</w:t>
      </w:r>
      <w:r w:rsidRPr="00A4522D">
        <w:rPr>
          <w:lang w:val="es-ES"/>
        </w:rPr>
        <w:t xml:space="preserve">; (c) </w:t>
      </w:r>
      <w:r w:rsidRPr="00A4522D">
        <w:rPr>
          <w:i/>
          <w:lang w:val="es-ES"/>
        </w:rPr>
        <w:t>Bactrocera dorsalis s.l</w:t>
      </w:r>
      <w:r w:rsidRPr="00A4522D">
        <w:rPr>
          <w:lang w:val="es-ES"/>
        </w:rPr>
        <w:t xml:space="preserve">.; (d) </w:t>
      </w:r>
      <w:r w:rsidRPr="00A4522D">
        <w:rPr>
          <w:i/>
          <w:lang w:val="es-ES"/>
        </w:rPr>
        <w:t>Bactrocera kandiensis</w:t>
      </w:r>
      <w:r w:rsidRPr="00A4522D">
        <w:rPr>
          <w:lang w:val="es-ES"/>
        </w:rPr>
        <w:t xml:space="preserve">; (e) </w:t>
      </w:r>
      <w:r w:rsidRPr="00A4522D">
        <w:rPr>
          <w:i/>
          <w:lang w:val="es-ES"/>
        </w:rPr>
        <w:t>Bactrocera occipitalis</w:t>
      </w:r>
      <w:r w:rsidRPr="00A4522D">
        <w:rPr>
          <w:lang w:val="es-ES"/>
        </w:rPr>
        <w:t xml:space="preserve">; (f) </w:t>
      </w:r>
      <w:r w:rsidRPr="00A4522D">
        <w:rPr>
          <w:i/>
          <w:lang w:val="es-ES"/>
        </w:rPr>
        <w:t>Bactrocera pyrifoliae</w:t>
      </w:r>
      <w:r w:rsidRPr="00A4522D">
        <w:rPr>
          <w:lang w:val="es-ES"/>
        </w:rPr>
        <w:t>.</w:t>
      </w:r>
      <w:r w:rsidR="00424C77">
        <w:rPr>
          <w:lang w:val="es-ES"/>
        </w:rPr>
        <w:t xml:space="preserve"> </w:t>
      </w:r>
      <w:r w:rsidR="00424C77" w:rsidRPr="00997AE4">
        <w:t>The margin of the episternal stripe is marked in (d).</w:t>
      </w:r>
    </w:p>
    <w:p w14:paraId="73B83BF3" w14:textId="77777777" w:rsidR="00612969" w:rsidRPr="007D2212" w:rsidRDefault="00E97743" w:rsidP="00A4522D">
      <w:pPr>
        <w:pStyle w:val="IPPArial"/>
      </w:pPr>
      <w:r w:rsidRPr="007D2212">
        <w:rPr>
          <w:rStyle w:val="PleaseReviewParagraphId"/>
        </w:rPr>
        <w:t>[542]</w:t>
      </w:r>
      <w:r w:rsidRPr="00A4522D">
        <w:rPr>
          <w:i/>
        </w:rPr>
        <w:t>Source: Photos courtesy of Yokohama Plant Protection Station, Ministry of Agriculture, Forestry and Fisheries, Japan.</w:t>
      </w:r>
      <w:r w:rsidRPr="007D2212">
        <w:br w:type="page"/>
      </w:r>
    </w:p>
    <w:p w14:paraId="7DE0D26F" w14:textId="77777777" w:rsidR="00612969" w:rsidRPr="00A4522D" w:rsidRDefault="00E97743">
      <w:pPr>
        <w:rPr>
          <w:lang w:val="es-ES"/>
        </w:rPr>
      </w:pPr>
      <w:r w:rsidRPr="00A4522D">
        <w:rPr>
          <w:rStyle w:val="PleaseReviewParagraphId"/>
          <w:lang w:val="es-ES"/>
        </w:rPr>
        <w:lastRenderedPageBreak/>
        <w:t>[543]</w:t>
      </w:r>
      <w:r w:rsidRPr="007D2212">
        <w:rPr>
          <w:noProof/>
          <w:lang w:val="en-US"/>
        </w:rPr>
        <w:drawing>
          <wp:inline distT="0" distB="0" distL="0" distR="0" wp14:anchorId="20FD9D92" wp14:editId="3C92BAD0">
            <wp:extent cx="5943600" cy="2990585"/>
            <wp:effectExtent l="0" t="0" r="0" b="0"/>
            <wp:docPr id="6145" name="Picture 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2990585"/>
                    </a:xfrm>
                    <a:prstGeom prst="rect">
                      <a:avLst/>
                    </a:prstGeom>
                    <a:noFill/>
                    <a:ln>
                      <a:noFill/>
                    </a:ln>
                  </pic:spPr>
                </pic:pic>
              </a:graphicData>
            </a:graphic>
          </wp:inline>
        </w:drawing>
      </w:r>
    </w:p>
    <w:p w14:paraId="34F5ED21" w14:textId="77777777" w:rsidR="00612969" w:rsidRPr="007D2212" w:rsidRDefault="00E97743">
      <w:pPr>
        <w:pStyle w:val="IPPArial"/>
        <w:spacing w:after="240"/>
      </w:pPr>
      <w:r w:rsidRPr="00A4522D">
        <w:rPr>
          <w:rStyle w:val="PleaseReviewParagraphId"/>
          <w:lang w:val="es-ES"/>
        </w:rPr>
        <w:t>[544]</w:t>
      </w:r>
      <w:r w:rsidRPr="00A4522D">
        <w:rPr>
          <w:b/>
          <w:lang w:val="es-ES"/>
        </w:rPr>
        <w:t>Figure 14.</w:t>
      </w:r>
      <w:r w:rsidRPr="00A4522D">
        <w:rPr>
          <w:lang w:val="es-ES"/>
        </w:rPr>
        <w:t xml:space="preserve"> Legs: (a) </w:t>
      </w:r>
      <w:r w:rsidRPr="00A4522D">
        <w:rPr>
          <w:i/>
          <w:lang w:val="es-ES"/>
        </w:rPr>
        <w:t>Bactrocera carambolae</w:t>
      </w:r>
      <w:r w:rsidRPr="00A4522D">
        <w:rPr>
          <w:lang w:val="es-ES"/>
        </w:rPr>
        <w:t xml:space="preserve">; (b) </w:t>
      </w:r>
      <w:r w:rsidRPr="00A4522D">
        <w:rPr>
          <w:i/>
          <w:lang w:val="es-ES"/>
        </w:rPr>
        <w:t>Bactrocera caryeae</w:t>
      </w:r>
      <w:r w:rsidRPr="00A4522D">
        <w:rPr>
          <w:lang w:val="es-ES"/>
        </w:rPr>
        <w:t xml:space="preserve">; (c) </w:t>
      </w:r>
      <w:r w:rsidRPr="00A4522D">
        <w:rPr>
          <w:i/>
          <w:lang w:val="es-ES"/>
        </w:rPr>
        <w:t>Bactrocera dorsalis s.l</w:t>
      </w:r>
      <w:r w:rsidRPr="00A4522D">
        <w:rPr>
          <w:lang w:val="es-ES"/>
        </w:rPr>
        <w:t>.; (d</w:t>
      </w:r>
      <w:r w:rsidRPr="00A4522D">
        <w:rPr>
          <w:i/>
          <w:lang w:val="es-ES"/>
        </w:rPr>
        <w:t>) Bactrocera kandiensis</w:t>
      </w:r>
      <w:r w:rsidRPr="00A4522D">
        <w:rPr>
          <w:lang w:val="es-ES"/>
        </w:rPr>
        <w:t xml:space="preserve">; (e) </w:t>
      </w:r>
      <w:r w:rsidRPr="00A4522D">
        <w:rPr>
          <w:i/>
          <w:lang w:val="es-ES"/>
        </w:rPr>
        <w:t>Bactrocera occipitalis</w:t>
      </w:r>
      <w:r w:rsidRPr="00A4522D">
        <w:rPr>
          <w:lang w:val="es-ES"/>
        </w:rPr>
        <w:t xml:space="preserve">; (f) </w:t>
      </w:r>
      <w:r w:rsidRPr="00A4522D">
        <w:rPr>
          <w:i/>
          <w:lang w:val="es-ES"/>
        </w:rPr>
        <w:t>Bactrocera pyrifoliae</w:t>
      </w:r>
      <w:r w:rsidRPr="00A4522D">
        <w:rPr>
          <w:lang w:val="es-ES"/>
        </w:rPr>
        <w:t xml:space="preserve">. </w:t>
      </w:r>
      <w:r w:rsidRPr="007D2212">
        <w:t>1, fore leg (outer surface); 2, mid leg; 3, hind leg (inner surface, when folded back alongside abdomen).</w:t>
      </w:r>
    </w:p>
    <w:p w14:paraId="5996C7C1" w14:textId="271BEFAF" w:rsidR="00612969" w:rsidRPr="007D2212" w:rsidRDefault="00E97743" w:rsidP="00A4522D">
      <w:pPr>
        <w:pStyle w:val="IPPArial"/>
      </w:pPr>
      <w:r w:rsidRPr="007D2212">
        <w:rPr>
          <w:rStyle w:val="PleaseReviewParagraphId"/>
        </w:rPr>
        <w:t>[545]</w:t>
      </w:r>
      <w:r w:rsidRPr="00A4522D">
        <w:rPr>
          <w:i/>
        </w:rPr>
        <w:t>Source: Photos courtesy of Yokohama Plant Protection Station, Ministry of Agriculture, Forestry and Fisheries, Japan.</w:t>
      </w:r>
      <w:r w:rsidRPr="007D2212">
        <w:br w:type="page"/>
      </w:r>
    </w:p>
    <w:p w14:paraId="087A1CDF" w14:textId="77777777" w:rsidR="00841501" w:rsidRPr="007D2212" w:rsidRDefault="00841501"/>
    <w:p w14:paraId="4FB23DC0" w14:textId="77777777" w:rsidR="00841501" w:rsidRPr="007D2212" w:rsidRDefault="00841501">
      <w:r w:rsidRPr="007D2212">
        <w:rPr>
          <w:noProof/>
          <w:lang w:val="en-US"/>
        </w:rPr>
        <w:drawing>
          <wp:inline distT="0" distB="0" distL="0" distR="0" wp14:anchorId="1D73EE76" wp14:editId="038FF4BF">
            <wp:extent cx="5943600" cy="444817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4448179"/>
                    </a:xfrm>
                    <a:prstGeom prst="rect">
                      <a:avLst/>
                    </a:prstGeom>
                    <a:noFill/>
                    <a:ln>
                      <a:noFill/>
                    </a:ln>
                  </pic:spPr>
                </pic:pic>
              </a:graphicData>
            </a:graphic>
          </wp:inline>
        </w:drawing>
      </w:r>
    </w:p>
    <w:p w14:paraId="03F7C512" w14:textId="77777777" w:rsidR="00612969" w:rsidRPr="00A4522D" w:rsidRDefault="00E97743">
      <w:pPr>
        <w:pStyle w:val="IPPArial"/>
        <w:spacing w:after="240"/>
        <w:rPr>
          <w:lang w:val="es-ES"/>
        </w:rPr>
      </w:pPr>
      <w:r w:rsidRPr="00A4522D">
        <w:rPr>
          <w:rStyle w:val="PleaseReviewParagraphId"/>
          <w:lang w:val="es-ES"/>
        </w:rPr>
        <w:t>[546]</w:t>
      </w:r>
      <w:r w:rsidRPr="00A4522D">
        <w:rPr>
          <w:b/>
          <w:lang w:val="es-ES"/>
        </w:rPr>
        <w:t>Figure 15.</w:t>
      </w:r>
      <w:r w:rsidRPr="00A4522D">
        <w:rPr>
          <w:lang w:val="es-ES"/>
        </w:rPr>
        <w:t xml:space="preserve"> Wings: (a</w:t>
      </w:r>
      <w:r w:rsidRPr="00A4522D">
        <w:rPr>
          <w:i/>
          <w:lang w:val="es-ES"/>
        </w:rPr>
        <w:t>) Bactrocera carambolae</w:t>
      </w:r>
      <w:r w:rsidRPr="00A4522D">
        <w:rPr>
          <w:lang w:val="es-ES"/>
        </w:rPr>
        <w:t xml:space="preserve">; (b) </w:t>
      </w:r>
      <w:r w:rsidRPr="00A4522D">
        <w:rPr>
          <w:i/>
          <w:lang w:val="es-ES"/>
        </w:rPr>
        <w:t>Bactrocera caryeae</w:t>
      </w:r>
      <w:r w:rsidRPr="00A4522D">
        <w:rPr>
          <w:lang w:val="es-ES"/>
        </w:rPr>
        <w:t xml:space="preserve">; (c) </w:t>
      </w:r>
      <w:r w:rsidRPr="00A4522D">
        <w:rPr>
          <w:i/>
          <w:lang w:val="es-ES"/>
        </w:rPr>
        <w:t>Bactrocera dorsalis s.l.</w:t>
      </w:r>
      <w:r w:rsidRPr="00A4522D">
        <w:rPr>
          <w:lang w:val="es-ES"/>
        </w:rPr>
        <w:t xml:space="preserve">; (d) </w:t>
      </w:r>
      <w:r w:rsidRPr="00A4522D">
        <w:rPr>
          <w:i/>
          <w:lang w:val="es-ES"/>
        </w:rPr>
        <w:t>Bactrocera kandiensis</w:t>
      </w:r>
      <w:r w:rsidRPr="00A4522D">
        <w:rPr>
          <w:lang w:val="es-ES"/>
        </w:rPr>
        <w:t xml:space="preserve">; (e) </w:t>
      </w:r>
      <w:r w:rsidRPr="00A4522D">
        <w:rPr>
          <w:i/>
          <w:lang w:val="es-ES"/>
        </w:rPr>
        <w:t>Bactrocera occipitalis</w:t>
      </w:r>
      <w:r w:rsidRPr="00A4522D">
        <w:rPr>
          <w:lang w:val="es-ES"/>
        </w:rPr>
        <w:t xml:space="preserve">; (f) </w:t>
      </w:r>
      <w:r w:rsidRPr="00A4522D">
        <w:rPr>
          <w:i/>
          <w:lang w:val="es-ES"/>
        </w:rPr>
        <w:t>Bactrocera pyrifoliae</w:t>
      </w:r>
      <w:r w:rsidRPr="00A4522D">
        <w:rPr>
          <w:lang w:val="es-ES"/>
        </w:rPr>
        <w:t>.</w:t>
      </w:r>
    </w:p>
    <w:p w14:paraId="5350009B" w14:textId="5CA1C1BA" w:rsidR="00612969" w:rsidRPr="007D2212" w:rsidRDefault="00E97743" w:rsidP="00A4522D">
      <w:pPr>
        <w:pStyle w:val="IPPArial"/>
      </w:pPr>
      <w:r w:rsidRPr="007D2212">
        <w:rPr>
          <w:rStyle w:val="PleaseReviewParagraphId"/>
        </w:rPr>
        <w:t>[547]</w:t>
      </w:r>
      <w:r w:rsidRPr="00A4522D">
        <w:rPr>
          <w:i/>
        </w:rPr>
        <w:t xml:space="preserve">Source: Photos </w:t>
      </w:r>
      <w:r w:rsidR="007A0447">
        <w:rPr>
          <w:i/>
        </w:rPr>
        <w:t xml:space="preserve">(a-c, e-f) </w:t>
      </w:r>
      <w:r w:rsidRPr="00A4522D">
        <w:rPr>
          <w:i/>
        </w:rPr>
        <w:t>courtesy of Yokohama Plant Protection Station, Ministry of Agriculture, Forestry and Fisheries, Japan</w:t>
      </w:r>
      <w:r w:rsidR="007A0447">
        <w:rPr>
          <w:i/>
        </w:rPr>
        <w:t xml:space="preserve">; (d) courtesy </w:t>
      </w:r>
      <w:r w:rsidR="008F58B2">
        <w:rPr>
          <w:i/>
        </w:rPr>
        <w:t>of Luc Leblanc, University of I</w:t>
      </w:r>
      <w:r w:rsidR="007A0447">
        <w:rPr>
          <w:i/>
        </w:rPr>
        <w:t>d</w:t>
      </w:r>
      <w:r w:rsidR="008F58B2">
        <w:rPr>
          <w:i/>
        </w:rPr>
        <w:t>a</w:t>
      </w:r>
      <w:r w:rsidR="007A0447">
        <w:rPr>
          <w:i/>
        </w:rPr>
        <w:t>ho, United States of America</w:t>
      </w:r>
      <w:r w:rsidRPr="00A4522D">
        <w:rPr>
          <w:i/>
        </w:rPr>
        <w:t>.</w:t>
      </w:r>
    </w:p>
    <w:p w14:paraId="3F341592" w14:textId="4129A9CA" w:rsidR="00612969" w:rsidRPr="00CC40B0" w:rsidRDefault="00E97743">
      <w:pPr>
        <w:rPr>
          <w:rStyle w:val="PleaseReviewParagraphId"/>
          <w:lang w:val="es-ES"/>
        </w:rPr>
      </w:pPr>
      <w:r w:rsidRPr="00CC40B0">
        <w:rPr>
          <w:rStyle w:val="PleaseReviewParagraphId"/>
          <w:lang w:val="es-ES"/>
        </w:rPr>
        <w:t>[548]</w:t>
      </w:r>
    </w:p>
    <w:p w14:paraId="76638E42" w14:textId="3EF7DFFA" w:rsidR="00806D0B" w:rsidRPr="00CC40B0" w:rsidRDefault="00806D0B">
      <w:pPr>
        <w:rPr>
          <w:lang w:val="es-ES"/>
        </w:rPr>
      </w:pPr>
    </w:p>
    <w:p w14:paraId="465853E2" w14:textId="4596EBAE" w:rsidR="00806D0B" w:rsidRPr="00CC40B0" w:rsidRDefault="00806D0B">
      <w:pPr>
        <w:spacing w:after="160" w:line="259" w:lineRule="auto"/>
        <w:jc w:val="left"/>
        <w:rPr>
          <w:lang w:val="es-ES"/>
        </w:rPr>
      </w:pPr>
      <w:r w:rsidRPr="00CC40B0">
        <w:rPr>
          <w:lang w:val="es-ES"/>
        </w:rPr>
        <w:br w:type="page"/>
      </w:r>
    </w:p>
    <w:p w14:paraId="4C2C6505" w14:textId="77777777" w:rsidR="00612969" w:rsidRPr="00A4522D" w:rsidRDefault="00E97743">
      <w:pPr>
        <w:rPr>
          <w:lang w:val="es-ES"/>
        </w:rPr>
      </w:pPr>
      <w:r w:rsidRPr="00A4522D">
        <w:rPr>
          <w:rStyle w:val="PleaseReviewParagraphId"/>
          <w:lang w:val="es-ES"/>
        </w:rPr>
        <w:lastRenderedPageBreak/>
        <w:t>[549]</w:t>
      </w:r>
      <w:r w:rsidRPr="007D2212">
        <w:rPr>
          <w:noProof/>
          <w:lang w:val="en-US"/>
        </w:rPr>
        <w:drawing>
          <wp:inline distT="0" distB="0" distL="0" distR="0" wp14:anchorId="44ACE8A0" wp14:editId="38652688">
            <wp:extent cx="5173980" cy="3497580"/>
            <wp:effectExtent l="0" t="0" r="7620" b="0"/>
            <wp:docPr id="6146" name="Picture 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73980" cy="3497580"/>
                    </a:xfrm>
                    <a:prstGeom prst="rect">
                      <a:avLst/>
                    </a:prstGeom>
                    <a:noFill/>
                    <a:ln>
                      <a:noFill/>
                    </a:ln>
                  </pic:spPr>
                </pic:pic>
              </a:graphicData>
            </a:graphic>
          </wp:inline>
        </w:drawing>
      </w:r>
    </w:p>
    <w:p w14:paraId="5E2C48A1" w14:textId="77777777" w:rsidR="00612969" w:rsidRPr="00A4522D" w:rsidRDefault="00E97743">
      <w:pPr>
        <w:pStyle w:val="IPPArial"/>
        <w:spacing w:after="240"/>
        <w:rPr>
          <w:lang w:val="es-ES"/>
        </w:rPr>
      </w:pPr>
      <w:r w:rsidRPr="00A4522D">
        <w:rPr>
          <w:rStyle w:val="PleaseReviewParagraphId"/>
          <w:lang w:val="es-ES"/>
        </w:rPr>
        <w:t>[550]</w:t>
      </w:r>
      <w:r w:rsidRPr="00A4522D">
        <w:rPr>
          <w:b/>
          <w:lang w:val="es-ES"/>
        </w:rPr>
        <w:t>Figure 16.</w:t>
      </w:r>
      <w:r w:rsidRPr="00A4522D">
        <w:rPr>
          <w:lang w:val="es-ES"/>
        </w:rPr>
        <w:t xml:space="preserve"> Abdomen in dorsal view: (a) </w:t>
      </w:r>
      <w:r w:rsidRPr="00A4522D">
        <w:rPr>
          <w:i/>
          <w:lang w:val="es-ES"/>
        </w:rPr>
        <w:t>Bactrocera carambolae</w:t>
      </w:r>
      <w:r w:rsidRPr="00A4522D">
        <w:rPr>
          <w:lang w:val="es-ES"/>
        </w:rPr>
        <w:t xml:space="preserve">; (b) </w:t>
      </w:r>
      <w:r w:rsidRPr="00A4522D">
        <w:rPr>
          <w:i/>
          <w:lang w:val="es-ES"/>
        </w:rPr>
        <w:t>Bactrocera caryeae</w:t>
      </w:r>
      <w:r w:rsidRPr="00A4522D">
        <w:rPr>
          <w:lang w:val="es-ES"/>
        </w:rPr>
        <w:t xml:space="preserve">; (c) </w:t>
      </w:r>
      <w:r w:rsidRPr="00A4522D">
        <w:rPr>
          <w:i/>
          <w:lang w:val="es-ES"/>
        </w:rPr>
        <w:t>Bactrocera dorsalis s.l</w:t>
      </w:r>
      <w:r w:rsidRPr="00A4522D">
        <w:rPr>
          <w:lang w:val="es-ES"/>
        </w:rPr>
        <w:t xml:space="preserve">.; (d) </w:t>
      </w:r>
      <w:r w:rsidRPr="00A4522D">
        <w:rPr>
          <w:i/>
          <w:lang w:val="es-ES"/>
        </w:rPr>
        <w:t>Bactrocera kandiensis</w:t>
      </w:r>
      <w:r w:rsidRPr="00A4522D">
        <w:rPr>
          <w:lang w:val="es-ES"/>
        </w:rPr>
        <w:t xml:space="preserve">; (e) </w:t>
      </w:r>
      <w:r w:rsidRPr="00A4522D">
        <w:rPr>
          <w:i/>
          <w:lang w:val="es-ES"/>
        </w:rPr>
        <w:t>Bactrocera occipitalis</w:t>
      </w:r>
      <w:r w:rsidRPr="00A4522D">
        <w:rPr>
          <w:lang w:val="es-ES"/>
        </w:rPr>
        <w:t xml:space="preserve">; (f) </w:t>
      </w:r>
      <w:r w:rsidRPr="00A4522D">
        <w:rPr>
          <w:i/>
          <w:lang w:val="es-ES"/>
        </w:rPr>
        <w:t>Bactrocera pyrifoliae</w:t>
      </w:r>
      <w:r w:rsidRPr="00A4522D">
        <w:rPr>
          <w:lang w:val="es-ES"/>
        </w:rPr>
        <w:t>.</w:t>
      </w:r>
    </w:p>
    <w:p w14:paraId="63EB4431" w14:textId="77777777" w:rsidR="00612969" w:rsidRPr="007D2212" w:rsidRDefault="00E97743" w:rsidP="00A4522D">
      <w:pPr>
        <w:pStyle w:val="IPPArial"/>
      </w:pPr>
      <w:r w:rsidRPr="007D2212">
        <w:rPr>
          <w:rStyle w:val="PleaseReviewParagraphId"/>
        </w:rPr>
        <w:t>[551]</w:t>
      </w:r>
      <w:r w:rsidRPr="00A4522D">
        <w:rPr>
          <w:i/>
        </w:rPr>
        <w:t>Source: Photos courtesy of Yokohama Plant Protection Station, Ministry of Agriculture, Forestry and Fisheries, Japan.</w:t>
      </w:r>
      <w:r w:rsidRPr="007D2212">
        <w:br w:type="page"/>
      </w:r>
    </w:p>
    <w:p w14:paraId="53A407BB" w14:textId="77777777" w:rsidR="00612969" w:rsidRPr="00A4522D" w:rsidRDefault="00E97743">
      <w:pPr>
        <w:rPr>
          <w:lang w:val="es-ES"/>
        </w:rPr>
      </w:pPr>
      <w:r w:rsidRPr="00A4522D">
        <w:rPr>
          <w:rStyle w:val="PleaseReviewParagraphId"/>
          <w:lang w:val="es-ES"/>
        </w:rPr>
        <w:lastRenderedPageBreak/>
        <w:t>[552]</w:t>
      </w:r>
      <w:r w:rsidRPr="007D2212">
        <w:rPr>
          <w:noProof/>
          <w:lang w:val="en-US"/>
        </w:rPr>
        <w:drawing>
          <wp:inline distT="0" distB="0" distL="0" distR="0" wp14:anchorId="1B83F22B" wp14:editId="2FEE2F64">
            <wp:extent cx="3558540" cy="3185160"/>
            <wp:effectExtent l="0" t="0" r="3810" b="0"/>
            <wp:docPr id="6147" name="Picture 6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58540" cy="3185160"/>
                    </a:xfrm>
                    <a:prstGeom prst="rect">
                      <a:avLst/>
                    </a:prstGeom>
                    <a:noFill/>
                    <a:ln>
                      <a:noFill/>
                    </a:ln>
                  </pic:spPr>
                </pic:pic>
              </a:graphicData>
            </a:graphic>
          </wp:inline>
        </w:drawing>
      </w:r>
    </w:p>
    <w:p w14:paraId="56C97B68" w14:textId="77777777" w:rsidR="00612969" w:rsidRPr="00A4522D" w:rsidRDefault="00E97743">
      <w:pPr>
        <w:pStyle w:val="IPPArial"/>
        <w:spacing w:after="240"/>
        <w:rPr>
          <w:lang w:val="es-ES"/>
        </w:rPr>
      </w:pPr>
      <w:r w:rsidRPr="00A4522D">
        <w:rPr>
          <w:rStyle w:val="PleaseReviewParagraphId"/>
          <w:lang w:val="es-ES"/>
        </w:rPr>
        <w:t>[553]</w:t>
      </w:r>
      <w:r w:rsidRPr="00A4522D">
        <w:rPr>
          <w:b/>
          <w:lang w:val="es-ES"/>
        </w:rPr>
        <w:t>Figure 17.</w:t>
      </w:r>
      <w:r w:rsidRPr="00A4522D">
        <w:rPr>
          <w:lang w:val="es-ES"/>
        </w:rPr>
        <w:t xml:space="preserve"> Abdomen in dorsolateral view: (a) </w:t>
      </w:r>
      <w:r w:rsidRPr="00A4522D">
        <w:rPr>
          <w:i/>
          <w:lang w:val="es-ES"/>
        </w:rPr>
        <w:t>Bactrocera carambolae</w:t>
      </w:r>
      <w:r w:rsidRPr="00A4522D">
        <w:rPr>
          <w:lang w:val="es-ES"/>
        </w:rPr>
        <w:t xml:space="preserve">; (b) </w:t>
      </w:r>
      <w:r w:rsidRPr="00A4522D">
        <w:rPr>
          <w:i/>
          <w:lang w:val="es-ES"/>
        </w:rPr>
        <w:t>Bactrocera caryeae</w:t>
      </w:r>
      <w:r w:rsidRPr="00A4522D">
        <w:rPr>
          <w:lang w:val="es-ES"/>
        </w:rPr>
        <w:t xml:space="preserve">; (c) </w:t>
      </w:r>
      <w:r w:rsidRPr="00A4522D">
        <w:rPr>
          <w:i/>
          <w:lang w:val="es-ES"/>
        </w:rPr>
        <w:t>Bactrocera dorsalis s.l.</w:t>
      </w:r>
      <w:r w:rsidRPr="00A4522D">
        <w:rPr>
          <w:lang w:val="es-ES"/>
        </w:rPr>
        <w:t xml:space="preserve">; (d) </w:t>
      </w:r>
      <w:r w:rsidRPr="00A4522D">
        <w:rPr>
          <w:i/>
          <w:lang w:val="es-ES"/>
        </w:rPr>
        <w:t>Bactrocera kandiensis</w:t>
      </w:r>
      <w:r w:rsidRPr="00A4522D">
        <w:rPr>
          <w:lang w:val="es-ES"/>
        </w:rPr>
        <w:t xml:space="preserve">; (e) </w:t>
      </w:r>
      <w:r w:rsidRPr="00A4522D">
        <w:rPr>
          <w:i/>
          <w:lang w:val="es-ES"/>
        </w:rPr>
        <w:t>Bactrocera occipitalis</w:t>
      </w:r>
      <w:r w:rsidRPr="00A4522D">
        <w:rPr>
          <w:lang w:val="es-ES"/>
        </w:rPr>
        <w:t xml:space="preserve">; (f) </w:t>
      </w:r>
      <w:r w:rsidRPr="00A4522D">
        <w:rPr>
          <w:i/>
          <w:lang w:val="es-ES"/>
        </w:rPr>
        <w:t>Bactrocera pyrifoliae</w:t>
      </w:r>
      <w:r w:rsidRPr="00A4522D">
        <w:rPr>
          <w:lang w:val="es-ES"/>
        </w:rPr>
        <w:t>.</w:t>
      </w:r>
    </w:p>
    <w:p w14:paraId="0A9022E5" w14:textId="77777777" w:rsidR="00612969" w:rsidRPr="007D2212" w:rsidRDefault="00E97743" w:rsidP="00A4522D">
      <w:pPr>
        <w:pStyle w:val="IPPArial"/>
      </w:pPr>
      <w:r w:rsidRPr="007D2212">
        <w:rPr>
          <w:rStyle w:val="PleaseReviewParagraphId"/>
        </w:rPr>
        <w:t>[554]</w:t>
      </w:r>
      <w:r w:rsidRPr="00A4522D">
        <w:rPr>
          <w:i/>
        </w:rPr>
        <w:t>Source: Photos courtesy of Yokohama Plant Protection Station, Ministry of Agriculture, Forestry and Fisheries, Japan.</w:t>
      </w:r>
      <w:r w:rsidRPr="007D2212">
        <w:br w:type="page"/>
      </w:r>
    </w:p>
    <w:p w14:paraId="56976410" w14:textId="77777777" w:rsidR="00612969" w:rsidRPr="00A4522D" w:rsidRDefault="00E97743">
      <w:pPr>
        <w:rPr>
          <w:lang w:val="es-ES"/>
        </w:rPr>
      </w:pPr>
      <w:r w:rsidRPr="00A4522D">
        <w:rPr>
          <w:rStyle w:val="PleaseReviewParagraphId"/>
          <w:lang w:val="es-ES"/>
        </w:rPr>
        <w:lastRenderedPageBreak/>
        <w:t>[555]</w:t>
      </w:r>
      <w:r w:rsidRPr="007D2212">
        <w:rPr>
          <w:noProof/>
          <w:lang w:val="en-US"/>
        </w:rPr>
        <w:drawing>
          <wp:inline distT="0" distB="0" distL="0" distR="0" wp14:anchorId="5F9CEC03" wp14:editId="22172361">
            <wp:extent cx="4503420" cy="29946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03420" cy="2994660"/>
                    </a:xfrm>
                    <a:prstGeom prst="rect">
                      <a:avLst/>
                    </a:prstGeom>
                    <a:noFill/>
                    <a:ln>
                      <a:noFill/>
                    </a:ln>
                  </pic:spPr>
                </pic:pic>
              </a:graphicData>
            </a:graphic>
          </wp:inline>
        </w:drawing>
      </w:r>
    </w:p>
    <w:p w14:paraId="08E68E7C" w14:textId="3FDDE7C5" w:rsidR="00612969" w:rsidRPr="00A4522D" w:rsidRDefault="00E97743">
      <w:pPr>
        <w:pStyle w:val="IPPArial"/>
        <w:spacing w:after="240"/>
        <w:rPr>
          <w:lang w:val="es-ES"/>
        </w:rPr>
      </w:pPr>
      <w:r w:rsidRPr="00A4522D">
        <w:rPr>
          <w:rStyle w:val="PleaseReviewParagraphId"/>
          <w:lang w:val="es-ES"/>
        </w:rPr>
        <w:t>[556]</w:t>
      </w:r>
      <w:r w:rsidRPr="00A4522D">
        <w:rPr>
          <w:b/>
          <w:lang w:val="es-ES"/>
        </w:rPr>
        <w:t>Figure 18.</w:t>
      </w:r>
      <w:r w:rsidRPr="00A4522D">
        <w:rPr>
          <w:lang w:val="es-ES"/>
        </w:rPr>
        <w:t xml:space="preserve"> Postpronotal lobes in dorsal view: (a) </w:t>
      </w:r>
      <w:r w:rsidRPr="00A4522D">
        <w:rPr>
          <w:i/>
          <w:lang w:val="es-ES"/>
        </w:rPr>
        <w:t>Bactrocera carambolae</w:t>
      </w:r>
      <w:r w:rsidRPr="00A4522D">
        <w:rPr>
          <w:lang w:val="es-ES"/>
        </w:rPr>
        <w:t xml:space="preserve">; (b) </w:t>
      </w:r>
      <w:r w:rsidRPr="00A4522D">
        <w:rPr>
          <w:i/>
          <w:lang w:val="es-ES"/>
        </w:rPr>
        <w:t>Bactrocera caryeae</w:t>
      </w:r>
      <w:r w:rsidRPr="00A4522D">
        <w:rPr>
          <w:lang w:val="es-ES"/>
        </w:rPr>
        <w:t xml:space="preserve">; (c) </w:t>
      </w:r>
      <w:r w:rsidRPr="00A4522D">
        <w:rPr>
          <w:i/>
          <w:lang w:val="es-ES"/>
        </w:rPr>
        <w:t>Bactrocera dorsalis</w:t>
      </w:r>
      <w:r w:rsidRPr="00A4522D">
        <w:rPr>
          <w:lang w:val="es-ES"/>
        </w:rPr>
        <w:t xml:space="preserve">; (d) </w:t>
      </w:r>
      <w:r w:rsidRPr="00A4522D">
        <w:rPr>
          <w:i/>
          <w:lang w:val="es-ES"/>
        </w:rPr>
        <w:t>Bactrocera kandiensis</w:t>
      </w:r>
      <w:r w:rsidRPr="00A4522D">
        <w:rPr>
          <w:lang w:val="es-ES"/>
        </w:rPr>
        <w:t xml:space="preserve">; (e) </w:t>
      </w:r>
      <w:r w:rsidRPr="00A4522D">
        <w:rPr>
          <w:i/>
          <w:lang w:val="es-ES"/>
        </w:rPr>
        <w:t>Bactrocera occipitalis</w:t>
      </w:r>
      <w:r w:rsidRPr="00A4522D">
        <w:rPr>
          <w:lang w:val="es-ES"/>
        </w:rPr>
        <w:t xml:space="preserve">; (f) </w:t>
      </w:r>
      <w:r w:rsidRPr="00A4522D">
        <w:rPr>
          <w:i/>
          <w:lang w:val="es-ES"/>
        </w:rPr>
        <w:t>Bactrocera pyrifoliae</w:t>
      </w:r>
      <w:r w:rsidR="00AF1B3C" w:rsidRPr="00A4522D">
        <w:rPr>
          <w:lang w:val="es-ES"/>
        </w:rPr>
        <w:t>.</w:t>
      </w:r>
    </w:p>
    <w:p w14:paraId="0FF4E844" w14:textId="77777777" w:rsidR="00612969" w:rsidRPr="007D2212" w:rsidRDefault="00E97743" w:rsidP="00A4522D">
      <w:pPr>
        <w:pStyle w:val="IPPArial"/>
      </w:pPr>
      <w:r w:rsidRPr="007D2212">
        <w:rPr>
          <w:rStyle w:val="PleaseReviewParagraphId"/>
        </w:rPr>
        <w:t>[557]</w:t>
      </w:r>
      <w:r w:rsidRPr="00A4522D">
        <w:rPr>
          <w:i/>
        </w:rPr>
        <w:t>Source: Photos courtesy of Yokohama Plant Protection Station, Ministry of Agriculture, Forestry and Fisheries, Japan.</w:t>
      </w:r>
    </w:p>
    <w:sectPr w:rsidR="00612969" w:rsidRPr="007D2212" w:rsidSect="009F07B3">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93F6F8" w16cid:durableId="1DDA20C4"/>
  <w16cid:commentId w16cid:paraId="4B49F288" w16cid:durableId="1DDA20D3"/>
  <w16cid:commentId w16cid:paraId="67C44781" w16cid:durableId="1DDB7D6A"/>
  <w16cid:commentId w16cid:paraId="3838F80D" w16cid:durableId="1DDAE144"/>
  <w16cid:commentId w16cid:paraId="53149AA4" w16cid:durableId="1DDAE950"/>
  <w16cid:commentId w16cid:paraId="0B902593" w16cid:durableId="1DDBA6C6"/>
  <w16cid:commentId w16cid:paraId="12231BBE" w16cid:durableId="1DDB7116"/>
  <w16cid:commentId w16cid:paraId="5FBFF4D9" w16cid:durableId="1DDB739C"/>
  <w16cid:commentId w16cid:paraId="0E2AE374" w16cid:durableId="1DDB7356"/>
  <w16cid:commentId w16cid:paraId="16659FBF" w16cid:durableId="1DDD1112"/>
  <w16cid:commentId w16cid:paraId="1C9510B9" w16cid:durableId="1DDB7772"/>
  <w16cid:commentId w16cid:paraId="7EE1821C" w16cid:durableId="1DDB7813"/>
  <w16cid:commentId w16cid:paraId="5B94919D" w16cid:durableId="1DDB7B98"/>
  <w16cid:commentId w16cid:paraId="0B33A160" w16cid:durableId="1DDBA7C4"/>
  <w16cid:commentId w16cid:paraId="38CE6DB2" w16cid:durableId="1DDBA7FB"/>
  <w16cid:commentId w16cid:paraId="7086E549" w16cid:durableId="1DDA34D8"/>
  <w16cid:commentId w16cid:paraId="6873B158" w16cid:durableId="1DDB7EA4"/>
  <w16cid:commentId w16cid:paraId="675E7D08" w16cid:durableId="1DDCD6D8"/>
  <w16cid:commentId w16cid:paraId="01B14713" w16cid:durableId="1DDD13A3"/>
  <w16cid:commentId w16cid:paraId="200921AC" w16cid:durableId="1DDB8126"/>
  <w16cid:commentId w16cid:paraId="3EE736C4" w16cid:durableId="1DDB8372"/>
  <w16cid:commentId w16cid:paraId="487B3D5D" w16cid:durableId="1DDD4830"/>
  <w16cid:commentId w16cid:paraId="7AD8336A" w16cid:durableId="1DDA4E3B"/>
  <w16cid:commentId w16cid:paraId="29EB2FEA" w16cid:durableId="1DDB86B4"/>
  <w16cid:commentId w16cid:paraId="0C4B22EB" w16cid:durableId="1DDA2873"/>
  <w16cid:commentId w16cid:paraId="67EBBFA6" w16cid:durableId="1DDA4FBA"/>
  <w16cid:commentId w16cid:paraId="6503164C" w16cid:durableId="1DDB8F05"/>
  <w16cid:commentId w16cid:paraId="3318A679" w16cid:durableId="1DDB8FE5"/>
  <w16cid:commentId w16cid:paraId="525068C6" w16cid:durableId="1DDB9012"/>
  <w16cid:commentId w16cid:paraId="6D1BBA3D" w16cid:durableId="1DDB9028"/>
  <w16cid:commentId w16cid:paraId="56A0972F" w16cid:durableId="1DDB90D2"/>
  <w16cid:commentId w16cid:paraId="1574B70B" w16cid:durableId="1DDA2A78"/>
  <w16cid:commentId w16cid:paraId="36827022" w16cid:durableId="1DDA2C5A"/>
  <w16cid:commentId w16cid:paraId="5EEF4975" w16cid:durableId="1DDA2E95"/>
  <w16cid:commentId w16cid:paraId="5340C128" w16cid:durableId="1DDA334E"/>
  <w16cid:commentId w16cid:paraId="42A5FD57" w16cid:durableId="1DDB9491"/>
  <w16cid:commentId w16cid:paraId="5FB446F4" w16cid:durableId="1DDA33FA"/>
  <w16cid:commentId w16cid:paraId="0805AB1B" w16cid:durableId="1DDBA08A"/>
  <w16cid:commentId w16cid:paraId="079A5F32" w16cid:durableId="1DDBA091"/>
  <w16cid:commentId w16cid:paraId="14536D76" w16cid:durableId="1DDB9578"/>
  <w16cid:commentId w16cid:paraId="20316C3E" w16cid:durableId="1DDB9B76"/>
  <w16cid:commentId w16cid:paraId="7DAA46C5" w16cid:durableId="1DDB9907"/>
  <w16cid:commentId w16cid:paraId="5B11C64A" w16cid:durableId="1DDB9970"/>
  <w16cid:commentId w16cid:paraId="0B3D861F" w16cid:durableId="1DDB9C08"/>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945CFA" w14:textId="77777777" w:rsidR="004F7E07" w:rsidRDefault="004F7E07">
      <w:r>
        <w:rPr>
          <w:rStyle w:val="PleaseReviewParagraphId"/>
        </w:rPr>
        <w:t>[]</w:t>
      </w:r>
      <w:r>
        <w:separator/>
      </w:r>
    </w:p>
  </w:endnote>
  <w:endnote w:type="continuationSeparator" w:id="0">
    <w:p w14:paraId="773C5F7A" w14:textId="77777777" w:rsidR="004F7E07" w:rsidRDefault="004F7E07">
      <w:r>
        <w:rPr>
          <w:rStyle w:val="PleaseReviewParagraphId"/>
        </w:rPr>
        <w:t>[]</w:t>
      </w:r>
      <w:r>
        <w:continuationSeparator/>
      </w:r>
    </w:p>
  </w:endnote>
  <w:endnote w:type="continuationNotice" w:id="1">
    <w:p w14:paraId="28258E8E" w14:textId="77777777" w:rsidR="004F7E07" w:rsidRDefault="004F7E07">
      <w:r>
        <w:rPr>
          <w:rStyle w:val="PleaseReviewParagraphId"/>
        </w:rP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erif">
    <w:altName w:val="MS Gothic"/>
    <w:charset w:val="8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Italic">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DB0958" w14:textId="14843D99" w:rsidR="004F7E07" w:rsidRPr="00CF1041" w:rsidRDefault="004F7E07" w:rsidP="00CF1041">
    <w:pPr>
      <w:pStyle w:val="IPPFooter"/>
      <w:jc w:val="both"/>
      <w:rPr>
        <w:b w:val="0"/>
      </w:rPr>
    </w:pPr>
    <w:r w:rsidRPr="00367FD7">
      <w:rPr>
        <w:rStyle w:val="PageNumber"/>
        <w:b/>
      </w:rPr>
      <w:t>Internatio</w:t>
    </w:r>
    <w:r>
      <w:rPr>
        <w:rStyle w:val="PageNumber"/>
        <w:b/>
      </w:rPr>
      <w:t>nal Plant Protection Convention</w:t>
    </w:r>
    <w:r>
      <w:rPr>
        <w:rStyle w:val="PageNumber"/>
        <w:b/>
      </w:rPr>
      <w:ptab w:relativeTo="margin" w:alignment="right" w:leader="none"/>
    </w:r>
    <w:r w:rsidRPr="00367FD7">
      <w:rPr>
        <w:rStyle w:val="PageNumber"/>
        <w:b/>
        <w:bCs/>
      </w:rPr>
      <w:t xml:space="preserve">Page </w:t>
    </w:r>
    <w:r w:rsidRPr="00367FD7">
      <w:rPr>
        <w:rStyle w:val="PageNumber"/>
        <w:b/>
        <w:bCs/>
      </w:rPr>
      <w:fldChar w:fldCharType="begin"/>
    </w:r>
    <w:r w:rsidRPr="00367FD7">
      <w:rPr>
        <w:rStyle w:val="PageNumber"/>
        <w:b/>
        <w:bCs/>
      </w:rPr>
      <w:instrText xml:space="preserve"> PAGE </w:instrText>
    </w:r>
    <w:r w:rsidRPr="00367FD7">
      <w:rPr>
        <w:rStyle w:val="PageNumber"/>
        <w:b/>
        <w:bCs/>
      </w:rPr>
      <w:fldChar w:fldCharType="separate"/>
    </w:r>
    <w:r w:rsidR="002644AB">
      <w:rPr>
        <w:rStyle w:val="PageNumber"/>
        <w:b/>
        <w:bCs/>
        <w:noProof/>
      </w:rPr>
      <w:t>2</w:t>
    </w:r>
    <w:r w:rsidRPr="00367FD7">
      <w:rPr>
        <w:rStyle w:val="PageNumber"/>
        <w:b/>
        <w:bCs/>
      </w:rPr>
      <w:fldChar w:fldCharType="end"/>
    </w:r>
    <w:r w:rsidRPr="00367FD7">
      <w:rPr>
        <w:rStyle w:val="PageNumber"/>
        <w:b/>
        <w:bCs/>
      </w:rPr>
      <w:t xml:space="preserve"> of </w:t>
    </w:r>
    <w:r w:rsidRPr="00367FD7">
      <w:rPr>
        <w:rStyle w:val="PageNumber"/>
        <w:b/>
        <w:bCs/>
      </w:rPr>
      <w:fldChar w:fldCharType="begin"/>
    </w:r>
    <w:r w:rsidRPr="00367FD7">
      <w:rPr>
        <w:rStyle w:val="PageNumber"/>
        <w:b/>
        <w:bCs/>
      </w:rPr>
      <w:instrText xml:space="preserve"> NUMPAGES </w:instrText>
    </w:r>
    <w:r w:rsidRPr="00367FD7">
      <w:rPr>
        <w:rStyle w:val="PageNumber"/>
        <w:b/>
        <w:bCs/>
      </w:rPr>
      <w:fldChar w:fldCharType="separate"/>
    </w:r>
    <w:r w:rsidR="002644AB">
      <w:rPr>
        <w:rStyle w:val="PageNumber"/>
        <w:b/>
        <w:bCs/>
        <w:noProof/>
      </w:rPr>
      <w:t>38</w:t>
    </w:r>
    <w:r w:rsidRPr="00367FD7">
      <w:rPr>
        <w:rStyle w:val="PageNumbe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B062BB" w14:textId="652E3A78" w:rsidR="004F7E07" w:rsidRPr="00367FD7" w:rsidRDefault="004F7E07" w:rsidP="00367FD7">
    <w:pPr>
      <w:pStyle w:val="IPPFooter"/>
      <w:jc w:val="both"/>
      <w:rPr>
        <w:b w:val="0"/>
      </w:rPr>
    </w:pPr>
    <w:r w:rsidRPr="00367FD7">
      <w:rPr>
        <w:rStyle w:val="PageNumber"/>
        <w:b/>
        <w:bCs/>
      </w:rPr>
      <w:t xml:space="preserve">Page </w:t>
    </w:r>
    <w:r w:rsidRPr="00367FD7">
      <w:rPr>
        <w:rStyle w:val="PageNumber"/>
        <w:b/>
        <w:bCs/>
      </w:rPr>
      <w:fldChar w:fldCharType="begin"/>
    </w:r>
    <w:r w:rsidRPr="00367FD7">
      <w:rPr>
        <w:rStyle w:val="PageNumber"/>
        <w:b/>
        <w:bCs/>
      </w:rPr>
      <w:instrText xml:space="preserve"> PAGE </w:instrText>
    </w:r>
    <w:r w:rsidRPr="00367FD7">
      <w:rPr>
        <w:rStyle w:val="PageNumber"/>
        <w:b/>
        <w:bCs/>
      </w:rPr>
      <w:fldChar w:fldCharType="separate"/>
    </w:r>
    <w:r w:rsidR="002644AB">
      <w:rPr>
        <w:rStyle w:val="PageNumber"/>
        <w:b/>
        <w:bCs/>
        <w:noProof/>
      </w:rPr>
      <w:t>21</w:t>
    </w:r>
    <w:r w:rsidRPr="00367FD7">
      <w:rPr>
        <w:rStyle w:val="PageNumber"/>
        <w:b/>
        <w:bCs/>
      </w:rPr>
      <w:fldChar w:fldCharType="end"/>
    </w:r>
    <w:r w:rsidRPr="00367FD7">
      <w:rPr>
        <w:rStyle w:val="PageNumber"/>
        <w:b/>
        <w:bCs/>
      </w:rPr>
      <w:t xml:space="preserve"> of </w:t>
    </w:r>
    <w:r w:rsidRPr="00367FD7">
      <w:rPr>
        <w:rStyle w:val="PageNumber"/>
        <w:b/>
        <w:bCs/>
      </w:rPr>
      <w:fldChar w:fldCharType="begin"/>
    </w:r>
    <w:r w:rsidRPr="00367FD7">
      <w:rPr>
        <w:rStyle w:val="PageNumber"/>
        <w:b/>
        <w:bCs/>
      </w:rPr>
      <w:instrText xml:space="preserve"> NUMPAGES </w:instrText>
    </w:r>
    <w:r w:rsidRPr="00367FD7">
      <w:rPr>
        <w:rStyle w:val="PageNumber"/>
        <w:b/>
        <w:bCs/>
      </w:rPr>
      <w:fldChar w:fldCharType="separate"/>
    </w:r>
    <w:r w:rsidR="002644AB">
      <w:rPr>
        <w:rStyle w:val="PageNumber"/>
        <w:b/>
        <w:bCs/>
        <w:noProof/>
      </w:rPr>
      <w:t>38</w:t>
    </w:r>
    <w:r w:rsidRPr="00367FD7">
      <w:rPr>
        <w:rStyle w:val="PageNumber"/>
        <w:b/>
        <w:bCs/>
      </w:rPr>
      <w:fldChar w:fldCharType="end"/>
    </w:r>
    <w:r>
      <w:rPr>
        <w:rStyle w:val="PageNumber"/>
        <w:b/>
        <w:bCs/>
      </w:rPr>
      <w:ptab w:relativeTo="margin" w:alignment="right" w:leader="none"/>
    </w:r>
    <w:r w:rsidRPr="00367FD7">
      <w:rPr>
        <w:rStyle w:val="PageNumber"/>
        <w:b/>
      </w:rPr>
      <w:t xml:space="preserve"> Internatio</w:t>
    </w:r>
    <w:r>
      <w:rPr>
        <w:rStyle w:val="PageNumber"/>
        <w:b/>
      </w:rPr>
      <w:t>nal Plant Protection Convention</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8EC374" w14:textId="4962DC0C" w:rsidR="004F7E07" w:rsidRPr="00CF1041" w:rsidRDefault="004F7E07" w:rsidP="00CF1041">
    <w:pPr>
      <w:pStyle w:val="IPPFooter"/>
      <w:jc w:val="both"/>
      <w:rPr>
        <w:b w:val="0"/>
      </w:rPr>
    </w:pPr>
    <w:r w:rsidRPr="00367FD7">
      <w:rPr>
        <w:rStyle w:val="PageNumber"/>
        <w:b/>
        <w:bCs/>
      </w:rPr>
      <w:t xml:space="preserve">Page </w:t>
    </w:r>
    <w:r w:rsidRPr="00367FD7">
      <w:rPr>
        <w:rStyle w:val="PageNumber"/>
        <w:b/>
        <w:bCs/>
      </w:rPr>
      <w:fldChar w:fldCharType="begin"/>
    </w:r>
    <w:r w:rsidRPr="00367FD7">
      <w:rPr>
        <w:rStyle w:val="PageNumber"/>
        <w:b/>
        <w:bCs/>
      </w:rPr>
      <w:instrText xml:space="preserve"> PAGE </w:instrText>
    </w:r>
    <w:r w:rsidRPr="00367FD7">
      <w:rPr>
        <w:rStyle w:val="PageNumber"/>
        <w:b/>
        <w:bCs/>
      </w:rPr>
      <w:fldChar w:fldCharType="separate"/>
    </w:r>
    <w:r w:rsidR="002644AB">
      <w:rPr>
        <w:rStyle w:val="PageNumber"/>
        <w:b/>
        <w:bCs/>
        <w:noProof/>
      </w:rPr>
      <w:t>1</w:t>
    </w:r>
    <w:r w:rsidRPr="00367FD7">
      <w:rPr>
        <w:rStyle w:val="PageNumber"/>
        <w:b/>
        <w:bCs/>
      </w:rPr>
      <w:fldChar w:fldCharType="end"/>
    </w:r>
    <w:r w:rsidRPr="00367FD7">
      <w:rPr>
        <w:rStyle w:val="PageNumber"/>
        <w:b/>
        <w:bCs/>
      </w:rPr>
      <w:t xml:space="preserve"> of </w:t>
    </w:r>
    <w:r w:rsidRPr="00367FD7">
      <w:rPr>
        <w:rStyle w:val="PageNumber"/>
        <w:b/>
        <w:bCs/>
      </w:rPr>
      <w:fldChar w:fldCharType="begin"/>
    </w:r>
    <w:r w:rsidRPr="00367FD7">
      <w:rPr>
        <w:rStyle w:val="PageNumber"/>
        <w:b/>
        <w:bCs/>
      </w:rPr>
      <w:instrText xml:space="preserve"> NUMPAGES </w:instrText>
    </w:r>
    <w:r w:rsidRPr="00367FD7">
      <w:rPr>
        <w:rStyle w:val="PageNumber"/>
        <w:b/>
        <w:bCs/>
      </w:rPr>
      <w:fldChar w:fldCharType="separate"/>
    </w:r>
    <w:r w:rsidR="002644AB">
      <w:rPr>
        <w:rStyle w:val="PageNumber"/>
        <w:b/>
        <w:bCs/>
        <w:noProof/>
      </w:rPr>
      <w:t>38</w:t>
    </w:r>
    <w:r w:rsidRPr="00367FD7">
      <w:rPr>
        <w:rStyle w:val="PageNumber"/>
        <w:b/>
        <w:bCs/>
      </w:rPr>
      <w:fldChar w:fldCharType="end"/>
    </w:r>
    <w:r>
      <w:rPr>
        <w:rStyle w:val="PageNumber"/>
        <w:b/>
        <w:bCs/>
      </w:rPr>
      <w:ptab w:relativeTo="margin" w:alignment="right" w:leader="none"/>
    </w:r>
    <w:r w:rsidRPr="00367FD7">
      <w:rPr>
        <w:rStyle w:val="PageNumber"/>
        <w:b/>
      </w:rPr>
      <w:t xml:space="preserve"> Internatio</w:t>
    </w:r>
    <w:r>
      <w:rPr>
        <w:rStyle w:val="PageNumber"/>
        <w:b/>
      </w:rPr>
      <w:t>nal Plant Protection Convention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29FC9E" w14:textId="77777777" w:rsidR="004F7E07" w:rsidRDefault="004F7E07">
      <w:r>
        <w:rPr>
          <w:rStyle w:val="PleaseReviewParagraphId"/>
        </w:rPr>
        <w:t>[]</w:t>
      </w:r>
      <w:r>
        <w:separator/>
      </w:r>
    </w:p>
  </w:footnote>
  <w:footnote w:type="continuationSeparator" w:id="0">
    <w:p w14:paraId="38BEC6FE" w14:textId="77777777" w:rsidR="004F7E07" w:rsidRDefault="004F7E07">
      <w:r>
        <w:rPr>
          <w:rStyle w:val="PleaseReviewParagraphId"/>
        </w:rPr>
        <w:t>[]</w:t>
      </w:r>
      <w:r>
        <w:continuationSeparator/>
      </w:r>
    </w:p>
  </w:footnote>
  <w:footnote w:type="continuationNotice" w:id="1">
    <w:p w14:paraId="2B4F21B1" w14:textId="77777777" w:rsidR="004F7E07" w:rsidRDefault="004F7E07">
      <w:r>
        <w:rPr>
          <w:rStyle w:val="PleaseReviewParagraphId"/>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3D999E" w14:textId="662B68E9" w:rsidR="004F7E07" w:rsidRDefault="004F7E07" w:rsidP="009F07B3">
    <w:pPr>
      <w:pStyle w:val="IPPHeader"/>
      <w:tabs>
        <w:tab w:val="clear" w:pos="9072"/>
        <w:tab w:val="right" w:pos="13950"/>
      </w:tabs>
    </w:pPr>
    <w:r>
      <w:t>2006-026</w:t>
    </w:r>
    <w:r w:rsidR="00C018E3">
      <w:tab/>
    </w:r>
    <w:r w:rsidRPr="00607265">
      <w:tab/>
    </w:r>
    <w:r>
      <w:t xml:space="preserve">Draft annex to ISPM 27: </w:t>
    </w:r>
    <w:r w:rsidRPr="00367FD7">
      <w:rPr>
        <w:i/>
      </w:rPr>
      <w:t>Bactrocera dorsalis</w:t>
    </w:r>
    <w:r w:rsidRPr="00607265">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41C9AA" w14:textId="585B092D" w:rsidR="004F7E07" w:rsidRPr="00367FD7" w:rsidRDefault="004F7E07" w:rsidP="00367FD7">
    <w:pPr>
      <w:pStyle w:val="IPPHeader"/>
      <w:rPr>
        <w:i/>
        <w:lang w:val="en-GB"/>
      </w:rPr>
    </w:pPr>
    <w:r>
      <w:t xml:space="preserve">Draft annex to ISPM 27: </w:t>
    </w:r>
    <w:r w:rsidRPr="00367FD7">
      <w:rPr>
        <w:i/>
      </w:rPr>
      <w:t>Bactrocera dorsalis</w:t>
    </w:r>
    <w:r>
      <w:ptab w:relativeTo="margin" w:alignment="right" w:leader="none"/>
    </w:r>
    <w:r>
      <w:t>2006-026</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1F850" w14:textId="5F43AEE7" w:rsidR="004F7E07" w:rsidRDefault="004F7E07" w:rsidP="00367FD7">
    <w:pPr>
      <w:pStyle w:val="IPPHeader"/>
      <w:ind w:left="1134"/>
      <w:rPr>
        <w:noProof/>
      </w:rPr>
    </w:pPr>
    <w:r>
      <w:rPr>
        <w:noProof/>
      </w:rPr>
      <w:drawing>
        <wp:anchor distT="0" distB="0" distL="114300" distR="114300" simplePos="0" relativeHeight="251660288" behindDoc="0" locked="0" layoutInCell="1" allowOverlap="0" wp14:anchorId="34E6B2AB" wp14:editId="3F9E49C9">
          <wp:simplePos x="0" y="0"/>
          <wp:positionH relativeFrom="page">
            <wp:posOffset>-28575</wp:posOffset>
          </wp:positionH>
          <wp:positionV relativeFrom="paragraph">
            <wp:posOffset>-436880</wp:posOffset>
          </wp:positionV>
          <wp:extent cx="7629525" cy="463550"/>
          <wp:effectExtent l="0" t="0" r="952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9525" cy="463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068B60" w14:textId="531E8CCC" w:rsidR="004F7E07" w:rsidRDefault="004F7E07" w:rsidP="00367FD7">
    <w:pPr>
      <w:pStyle w:val="IPPHeader"/>
      <w:ind w:left="1134"/>
    </w:pPr>
    <w:r>
      <w:rPr>
        <w:noProof/>
      </w:rPr>
      <w:drawing>
        <wp:anchor distT="0" distB="0" distL="114300" distR="114300" simplePos="0" relativeHeight="251659264" behindDoc="0" locked="0" layoutInCell="1" allowOverlap="1" wp14:anchorId="11610BB0" wp14:editId="107A3A10">
          <wp:simplePos x="0" y="0"/>
          <wp:positionH relativeFrom="column">
            <wp:posOffset>-12700</wp:posOffset>
          </wp:positionH>
          <wp:positionV relativeFrom="paragraph">
            <wp:posOffset>3810</wp:posOffset>
          </wp:positionV>
          <wp:extent cx="632460" cy="321310"/>
          <wp:effectExtent l="0" t="0" r="0" b="2540"/>
          <wp:wrapSquare wrapText="bothSides"/>
          <wp:docPr id="10" name="Picture 10"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95F">
      <w:t>Internatio</w:t>
    </w:r>
    <w:r>
      <w:t>nal Plant Protection Convention</w:t>
    </w:r>
    <w:r>
      <w:tab/>
    </w:r>
    <w:r>
      <w:br/>
      <w:t xml:space="preserve">Draft annex to ISPM 27: </w:t>
    </w:r>
    <w:r w:rsidRPr="00367FD7">
      <w:rPr>
        <w:i/>
      </w:rPr>
      <w:t>Bactrocera dorsalis</w:t>
    </w:r>
    <w:r w:rsidR="00C018E3">
      <w:rPr>
        <w:i/>
      </w:rPr>
      <w:t xml:space="preserve"> </w:t>
    </w:r>
    <w:r w:rsidR="00C018E3" w:rsidRPr="00EC752D">
      <w:t>complex</w:t>
    </w:r>
    <w:r>
      <w:rPr>
        <w:i/>
      </w:rPr>
      <w:tab/>
    </w:r>
    <w:r w:rsidR="00C018E3">
      <w:t>2006-026</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FCD83E" w14:textId="11FC31D2" w:rsidR="004F7E07" w:rsidRDefault="004F7E07" w:rsidP="00367FD7">
    <w:pPr>
      <w:pStyle w:val="IPPHeader"/>
    </w:pPr>
    <w:r>
      <w:t xml:space="preserve">Draft annex to ISPM 27: </w:t>
    </w:r>
    <w:r w:rsidRPr="00367FD7">
      <w:rPr>
        <w:i/>
      </w:rPr>
      <w:t>Bactrocera dorsalis</w:t>
    </w:r>
    <w:r>
      <w:ptab w:relativeTo="margin" w:alignment="right" w:leader="none"/>
    </w:r>
    <w:r>
      <w:t xml:space="preserve">2006-026 </w:t>
    </w:r>
    <w:r w:rsidRPr="00607265">
      <w:t>(</w:t>
    </w:r>
    <w:r>
      <w:t>5.4</w:t>
    </w:r>
    <w:r w:rsidRPr="00607265">
      <w: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6"/>
    <w:multiLevelType w:val="multilevel"/>
    <w:tmpl w:val="00000016"/>
    <w:name w:val="WW8Num22"/>
    <w:lvl w:ilvl="0">
      <w:start w:val="1"/>
      <w:numFmt w:val="decimal"/>
      <w:lvlText w:val="%1."/>
      <w:lvlJc w:val="left"/>
      <w:pPr>
        <w:tabs>
          <w:tab w:val="num" w:pos="720"/>
        </w:tabs>
        <w:ind w:left="720" w:hanging="360"/>
      </w:pPr>
      <w:rPr>
        <w:rFonts w:cs="serif"/>
        <w:i w:val="0"/>
        <w:lang w:val="en-AU"/>
      </w:rPr>
    </w:lvl>
    <w:lvl w:ilvl="1">
      <w:start w:val="24"/>
      <w:numFmt w:val="bullet"/>
      <w:lvlText w:val="-"/>
      <w:lvlJc w:val="left"/>
      <w:pPr>
        <w:tabs>
          <w:tab w:val="num" w:pos="1590"/>
        </w:tabs>
        <w:ind w:left="1590" w:hanging="510"/>
      </w:pPr>
      <w:rPr>
        <w:rFonts w:ascii="Times New Roman" w:hAnsi="Times New Roman" w:cs="Times New Roman"/>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771FD"/>
    <w:multiLevelType w:val="multilevel"/>
    <w:tmpl w:val="6994F0A0"/>
    <w:lvl w:ilvl="0">
      <w:start w:val="4"/>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71C00AF"/>
    <w:multiLevelType w:val="multilevel"/>
    <w:tmpl w:val="6F326368"/>
    <w:lvl w:ilvl="0">
      <w:start w:val="1"/>
      <w:numFmt w:val="bullet"/>
      <w:lvlText w:val=""/>
      <w:lvlJc w:val="left"/>
      <w:pPr>
        <w:tabs>
          <w:tab w:val="num" w:pos="0"/>
        </w:tabs>
        <w:ind w:left="0" w:hanging="482"/>
      </w:pPr>
      <w:rPr>
        <w:rFonts w:ascii="Symbol" w:hAnsi="Symbol" w:hint="default"/>
        <w:b w:val="0"/>
        <w:i/>
        <w:color w:val="auto"/>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4" w15:restartNumberingAfterBreak="0">
    <w:nsid w:val="084C0A6C"/>
    <w:multiLevelType w:val="multilevel"/>
    <w:tmpl w:val="06E871E4"/>
    <w:numStyleLink w:val="IPPParagraphnumberedlist"/>
  </w:abstractNum>
  <w:abstractNum w:abstractNumId="5"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599497E"/>
    <w:multiLevelType w:val="hybridMultilevel"/>
    <w:tmpl w:val="CBDEA8A0"/>
    <w:lvl w:ilvl="0" w:tplc="4970D5CE">
      <w:start w:val="1"/>
      <w:numFmt w:val="bullet"/>
      <w:lvlText w:val="-"/>
      <w:lvlJc w:val="left"/>
      <w:pPr>
        <w:ind w:left="720" w:hanging="360"/>
      </w:pPr>
      <w:rPr>
        <w:rFonts w:ascii="Times New Roman" w:hAnsi="Times New Roman" w:cs="Times New Roman" w:hint="default"/>
        <w:b w:val="0"/>
        <w:i w:val="0"/>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 w15:restartNumberingAfterBreak="0">
    <w:nsid w:val="25270AE9"/>
    <w:multiLevelType w:val="hybridMultilevel"/>
    <w:tmpl w:val="AF9C857E"/>
    <w:lvl w:ilvl="0" w:tplc="C208653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5BB3B50"/>
    <w:multiLevelType w:val="multilevel"/>
    <w:tmpl w:val="06E871E4"/>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0" w15:restartNumberingAfterBreak="0">
    <w:nsid w:val="27400C93"/>
    <w:multiLevelType w:val="multilevel"/>
    <w:tmpl w:val="06E871E4"/>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1" w15:restartNumberingAfterBreak="0">
    <w:nsid w:val="2ED5521D"/>
    <w:multiLevelType w:val="hybridMultilevel"/>
    <w:tmpl w:val="AD786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3" w15:restartNumberingAfterBreak="0">
    <w:nsid w:val="369C350A"/>
    <w:multiLevelType w:val="hybridMultilevel"/>
    <w:tmpl w:val="DC400254"/>
    <w:lvl w:ilvl="0" w:tplc="FD44ADD2">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20B296D"/>
    <w:multiLevelType w:val="multilevel"/>
    <w:tmpl w:val="E9D8B764"/>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7" w15:restartNumberingAfterBreak="0">
    <w:nsid w:val="52787D9B"/>
    <w:multiLevelType w:val="multilevel"/>
    <w:tmpl w:val="06E871E4"/>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8"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9" w15:restartNumberingAfterBreak="0">
    <w:nsid w:val="6069783E"/>
    <w:multiLevelType w:val="hybridMultilevel"/>
    <w:tmpl w:val="036A4F7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FB67149"/>
    <w:multiLevelType w:val="multilevel"/>
    <w:tmpl w:val="06E871E4"/>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23" w15:restartNumberingAfterBreak="0">
    <w:nsid w:val="72F275DB"/>
    <w:multiLevelType w:val="hybridMultilevel"/>
    <w:tmpl w:val="4C0849BE"/>
    <w:lvl w:ilvl="0" w:tplc="6102E9BC">
      <w:start w:val="1"/>
      <w:numFmt w:val="bullet"/>
      <w:pStyle w:val="ListParagraphdash"/>
      <w:lvlText w:val=""/>
      <w:lvlJc w:val="left"/>
      <w:pPr>
        <w:ind w:left="720" w:hanging="360"/>
      </w:pPr>
      <w:rPr>
        <w:rFonts w:ascii="Symbol" w:hAnsi="Symbol"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cs="Wingdings" w:hint="default"/>
      </w:rPr>
    </w:lvl>
    <w:lvl w:ilvl="3" w:tplc="0C090001" w:tentative="1">
      <w:start w:val="1"/>
      <w:numFmt w:val="bullet"/>
      <w:lvlText w:val=""/>
      <w:lvlJc w:val="left"/>
      <w:pPr>
        <w:ind w:left="2880" w:hanging="360"/>
      </w:pPr>
      <w:rPr>
        <w:rFonts w:ascii="Symbol" w:hAnsi="Symbol" w:cs="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cs="Wingdings" w:hint="default"/>
      </w:rPr>
    </w:lvl>
    <w:lvl w:ilvl="6" w:tplc="0C090001" w:tentative="1">
      <w:start w:val="1"/>
      <w:numFmt w:val="bullet"/>
      <w:lvlText w:val=""/>
      <w:lvlJc w:val="left"/>
      <w:pPr>
        <w:ind w:left="5040" w:hanging="360"/>
      </w:pPr>
      <w:rPr>
        <w:rFonts w:ascii="Symbol" w:hAnsi="Symbol" w:cs="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E346620"/>
    <w:multiLevelType w:val="hybridMultilevel"/>
    <w:tmpl w:val="A00092E0"/>
    <w:lvl w:ilvl="0" w:tplc="C618051E">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7E461799"/>
    <w:multiLevelType w:val="hybridMultilevel"/>
    <w:tmpl w:val="E8B295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2"/>
  </w:num>
  <w:num w:numId="2">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
    <w:abstractNumId w:val="23"/>
  </w:num>
  <w:num w:numId="4">
    <w:abstractNumId w:val="11"/>
  </w:num>
  <w:num w:numId="5">
    <w:abstractNumId w:val="17"/>
  </w:num>
  <w:num w:numId="6">
    <w:abstractNumId w:val="9"/>
  </w:num>
  <w:num w:numId="7">
    <w:abstractNumId w:val="20"/>
  </w:num>
  <w:num w:numId="8">
    <w:abstractNumId w:val="5"/>
  </w:num>
  <w:num w:numId="9">
    <w:abstractNumId w:val="4"/>
  </w:num>
  <w:num w:numId="10">
    <w:abstractNumId w:val="24"/>
  </w:num>
  <w:num w:numId="11">
    <w:abstractNumId w:val="18"/>
  </w:num>
  <w:num w:numId="12">
    <w:abstractNumId w:val="14"/>
  </w:num>
  <w:num w:numId="13">
    <w:abstractNumId w:val="27"/>
  </w:num>
  <w:num w:numId="14">
    <w:abstractNumId w:val="7"/>
  </w:num>
  <w:num w:numId="15">
    <w:abstractNumId w:val="1"/>
  </w:num>
  <w:num w:numId="16">
    <w:abstractNumId w:val="15"/>
  </w:num>
  <w:num w:numId="17">
    <w:abstractNumId w:val="21"/>
  </w:num>
  <w:num w:numId="18">
    <w:abstractNumId w:val="4"/>
    <w:lvlOverride w:ilvl="0">
      <w:startOverride w:val="2"/>
      <w:lvl w:ilvl="0">
        <w:start w:val="2"/>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startOverride w:val="1"/>
      <w:lvl w:ilvl="1">
        <w:start w:val="1"/>
        <w:numFmt w:val="none"/>
        <w:lvlRestart w:val="0"/>
        <w:lvlText w:val=""/>
        <w:lvlJc w:val="left"/>
        <w:pPr>
          <w:tabs>
            <w:tab w:val="num" w:pos="0"/>
          </w:tabs>
          <w:ind w:left="0" w:hanging="482"/>
        </w:pPr>
        <w:rPr>
          <w:rFonts w:hint="default"/>
        </w:rPr>
      </w:lvl>
    </w:lvlOverride>
    <w:lvlOverride w:ilvl="2">
      <w:startOverride w:val="1"/>
      <w:lvl w:ilvl="2">
        <w:start w:val="1"/>
        <w:numFmt w:val="none"/>
        <w:lvlRestart w:val="0"/>
        <w:lvlText w:val=""/>
        <w:lvlJc w:val="left"/>
        <w:pPr>
          <w:tabs>
            <w:tab w:val="num" w:pos="0"/>
          </w:tabs>
          <w:ind w:left="0" w:hanging="482"/>
        </w:pPr>
        <w:rPr>
          <w:rFonts w:hint="default"/>
        </w:rPr>
      </w:lvl>
    </w:lvlOverride>
    <w:lvlOverride w:ilvl="3">
      <w:startOverride w:val="1"/>
      <w:lvl w:ilvl="3">
        <w:start w:val="1"/>
        <w:numFmt w:val="none"/>
        <w:lvlRestart w:val="0"/>
        <w:lvlText w:val=""/>
        <w:lvlJc w:val="left"/>
        <w:pPr>
          <w:tabs>
            <w:tab w:val="num" w:pos="0"/>
          </w:tabs>
          <w:ind w:left="0" w:hanging="482"/>
        </w:pPr>
        <w:rPr>
          <w:rFonts w:hint="default"/>
        </w:rPr>
      </w:lvl>
    </w:lvlOverride>
    <w:lvlOverride w:ilvl="4">
      <w:startOverride w:val="1"/>
      <w:lvl w:ilvl="4">
        <w:start w:val="1"/>
        <w:numFmt w:val="none"/>
        <w:lvlRestart w:val="0"/>
        <w:lvlText w:val=""/>
        <w:lvlJc w:val="left"/>
        <w:pPr>
          <w:tabs>
            <w:tab w:val="num" w:pos="0"/>
          </w:tabs>
          <w:ind w:left="0" w:hanging="482"/>
        </w:pPr>
        <w:rPr>
          <w:rFonts w:hint="default"/>
        </w:rPr>
      </w:lvl>
    </w:lvlOverride>
    <w:lvlOverride w:ilvl="5">
      <w:startOverride w:val="1"/>
      <w:lvl w:ilvl="5">
        <w:start w:val="1"/>
        <w:numFmt w:val="none"/>
        <w:lvlRestart w:val="0"/>
        <w:lvlText w:val=""/>
        <w:lvlJc w:val="left"/>
        <w:pPr>
          <w:tabs>
            <w:tab w:val="num" w:pos="0"/>
          </w:tabs>
          <w:ind w:left="0" w:hanging="482"/>
        </w:pPr>
        <w:rPr>
          <w:rFonts w:hint="default"/>
        </w:rPr>
      </w:lvl>
    </w:lvlOverride>
    <w:lvlOverride w:ilvl="6">
      <w:startOverride w:val="1"/>
      <w:lvl w:ilvl="6">
        <w:start w:val="1"/>
        <w:numFmt w:val="none"/>
        <w:lvlRestart w:val="0"/>
        <w:lvlText w:val=""/>
        <w:lvlJc w:val="left"/>
        <w:pPr>
          <w:tabs>
            <w:tab w:val="num" w:pos="0"/>
          </w:tabs>
          <w:ind w:left="0" w:hanging="482"/>
        </w:pPr>
        <w:rPr>
          <w:rFonts w:hint="default"/>
        </w:rPr>
      </w:lvl>
    </w:lvlOverride>
    <w:lvlOverride w:ilvl="7">
      <w:startOverride w:val="1"/>
      <w:lvl w:ilvl="7">
        <w:start w:val="1"/>
        <w:numFmt w:val="none"/>
        <w:lvlRestart w:val="0"/>
        <w:lvlText w:val=""/>
        <w:lvlJc w:val="left"/>
        <w:pPr>
          <w:tabs>
            <w:tab w:val="num" w:pos="0"/>
          </w:tabs>
          <w:ind w:left="0" w:hanging="482"/>
        </w:pPr>
        <w:rPr>
          <w:rFonts w:hint="default"/>
        </w:rPr>
      </w:lvl>
    </w:lvlOverride>
    <w:lvlOverride w:ilvl="8">
      <w:startOverride w:val="1"/>
      <w:lvl w:ilvl="8">
        <w:start w:val="1"/>
        <w:numFmt w:val="none"/>
        <w:lvlRestart w:val="0"/>
        <w:lvlText w:val=""/>
        <w:lvlJc w:val="left"/>
        <w:pPr>
          <w:tabs>
            <w:tab w:val="num" w:pos="0"/>
          </w:tabs>
          <w:ind w:left="0" w:hanging="482"/>
        </w:pPr>
        <w:rPr>
          <w:rFonts w:hint="default"/>
        </w:rPr>
      </w:lvl>
    </w:lvlOverride>
  </w:num>
  <w:num w:numId="19">
    <w:abstractNumId w:val="3"/>
  </w:num>
  <w:num w:numId="20">
    <w:abstractNumId w:val="22"/>
  </w:num>
  <w:num w:numId="21">
    <w:abstractNumId w:val="4"/>
    <w:lvlOverride w:ilvl="0">
      <w:startOverride w:val="190"/>
      <w:lvl w:ilvl="0">
        <w:start w:val="190"/>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startOverride w:val="1"/>
      <w:lvl w:ilvl="1">
        <w:start w:val="1"/>
        <w:numFmt w:val="none"/>
        <w:lvlRestart w:val="0"/>
        <w:lvlText w:val=""/>
        <w:lvlJc w:val="left"/>
        <w:pPr>
          <w:tabs>
            <w:tab w:val="num" w:pos="0"/>
          </w:tabs>
          <w:ind w:left="0" w:hanging="482"/>
        </w:pPr>
        <w:rPr>
          <w:rFonts w:hint="default"/>
        </w:rPr>
      </w:lvl>
    </w:lvlOverride>
    <w:lvlOverride w:ilvl="2">
      <w:startOverride w:val="1"/>
      <w:lvl w:ilvl="2">
        <w:start w:val="1"/>
        <w:numFmt w:val="none"/>
        <w:lvlRestart w:val="0"/>
        <w:lvlText w:val=""/>
        <w:lvlJc w:val="left"/>
        <w:pPr>
          <w:tabs>
            <w:tab w:val="num" w:pos="0"/>
          </w:tabs>
          <w:ind w:left="0" w:hanging="482"/>
        </w:pPr>
        <w:rPr>
          <w:rFonts w:hint="default"/>
        </w:rPr>
      </w:lvl>
    </w:lvlOverride>
    <w:lvlOverride w:ilvl="3">
      <w:startOverride w:val="1"/>
      <w:lvl w:ilvl="3">
        <w:start w:val="1"/>
        <w:numFmt w:val="none"/>
        <w:lvlRestart w:val="0"/>
        <w:lvlText w:val=""/>
        <w:lvlJc w:val="left"/>
        <w:pPr>
          <w:tabs>
            <w:tab w:val="num" w:pos="0"/>
          </w:tabs>
          <w:ind w:left="0" w:hanging="482"/>
        </w:pPr>
        <w:rPr>
          <w:rFonts w:hint="default"/>
        </w:rPr>
      </w:lvl>
    </w:lvlOverride>
    <w:lvlOverride w:ilvl="4">
      <w:startOverride w:val="1"/>
      <w:lvl w:ilvl="4">
        <w:start w:val="1"/>
        <w:numFmt w:val="none"/>
        <w:lvlRestart w:val="0"/>
        <w:lvlText w:val=""/>
        <w:lvlJc w:val="left"/>
        <w:pPr>
          <w:tabs>
            <w:tab w:val="num" w:pos="0"/>
          </w:tabs>
          <w:ind w:left="0" w:hanging="482"/>
        </w:pPr>
        <w:rPr>
          <w:rFonts w:hint="default"/>
        </w:rPr>
      </w:lvl>
    </w:lvlOverride>
    <w:lvlOverride w:ilvl="5">
      <w:startOverride w:val="1"/>
      <w:lvl w:ilvl="5">
        <w:start w:val="1"/>
        <w:numFmt w:val="none"/>
        <w:lvlRestart w:val="0"/>
        <w:lvlText w:val=""/>
        <w:lvlJc w:val="left"/>
        <w:pPr>
          <w:tabs>
            <w:tab w:val="num" w:pos="0"/>
          </w:tabs>
          <w:ind w:left="0" w:hanging="482"/>
        </w:pPr>
        <w:rPr>
          <w:rFonts w:hint="default"/>
        </w:rPr>
      </w:lvl>
    </w:lvlOverride>
    <w:lvlOverride w:ilvl="6">
      <w:startOverride w:val="1"/>
      <w:lvl w:ilvl="6">
        <w:start w:val="1"/>
        <w:numFmt w:val="none"/>
        <w:lvlRestart w:val="0"/>
        <w:lvlText w:val=""/>
        <w:lvlJc w:val="left"/>
        <w:pPr>
          <w:tabs>
            <w:tab w:val="num" w:pos="0"/>
          </w:tabs>
          <w:ind w:left="0" w:hanging="482"/>
        </w:pPr>
        <w:rPr>
          <w:rFonts w:hint="default"/>
        </w:rPr>
      </w:lvl>
    </w:lvlOverride>
    <w:lvlOverride w:ilvl="7">
      <w:startOverride w:val="1"/>
      <w:lvl w:ilvl="7">
        <w:start w:val="1"/>
        <w:numFmt w:val="none"/>
        <w:lvlRestart w:val="0"/>
        <w:lvlText w:val=""/>
        <w:lvlJc w:val="left"/>
        <w:pPr>
          <w:tabs>
            <w:tab w:val="num" w:pos="0"/>
          </w:tabs>
          <w:ind w:left="0" w:hanging="482"/>
        </w:pPr>
        <w:rPr>
          <w:rFonts w:hint="default"/>
        </w:rPr>
      </w:lvl>
    </w:lvlOverride>
    <w:lvlOverride w:ilvl="8">
      <w:startOverride w:val="1"/>
      <w:lvl w:ilvl="8">
        <w:start w:val="1"/>
        <w:numFmt w:val="none"/>
        <w:lvlRestart w:val="0"/>
        <w:lvlText w:val=""/>
        <w:lvlJc w:val="left"/>
        <w:pPr>
          <w:tabs>
            <w:tab w:val="num" w:pos="0"/>
          </w:tabs>
          <w:ind w:left="0" w:hanging="482"/>
        </w:pPr>
        <w:rPr>
          <w:rFonts w:hint="default"/>
        </w:rPr>
      </w:lvl>
    </w:lvlOverride>
  </w:num>
  <w:num w:numId="22">
    <w:abstractNumId w:val="4"/>
    <w:lvlOverride w:ilvl="0">
      <w:startOverride w:val="189"/>
      <w:lvl w:ilvl="0">
        <w:start w:val="189"/>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startOverride w:val="1"/>
      <w:lvl w:ilvl="1">
        <w:start w:val="1"/>
        <w:numFmt w:val="none"/>
        <w:lvlRestart w:val="0"/>
        <w:lvlText w:val=""/>
        <w:lvlJc w:val="left"/>
        <w:pPr>
          <w:tabs>
            <w:tab w:val="num" w:pos="0"/>
          </w:tabs>
          <w:ind w:left="0" w:hanging="482"/>
        </w:pPr>
        <w:rPr>
          <w:rFonts w:hint="default"/>
        </w:rPr>
      </w:lvl>
    </w:lvlOverride>
    <w:lvlOverride w:ilvl="2">
      <w:startOverride w:val="1"/>
      <w:lvl w:ilvl="2">
        <w:start w:val="1"/>
        <w:numFmt w:val="none"/>
        <w:lvlRestart w:val="0"/>
        <w:lvlText w:val=""/>
        <w:lvlJc w:val="left"/>
        <w:pPr>
          <w:tabs>
            <w:tab w:val="num" w:pos="0"/>
          </w:tabs>
          <w:ind w:left="0" w:hanging="482"/>
        </w:pPr>
        <w:rPr>
          <w:rFonts w:hint="default"/>
        </w:rPr>
      </w:lvl>
    </w:lvlOverride>
    <w:lvlOverride w:ilvl="3">
      <w:startOverride w:val="1"/>
      <w:lvl w:ilvl="3">
        <w:start w:val="1"/>
        <w:numFmt w:val="none"/>
        <w:lvlRestart w:val="0"/>
        <w:lvlText w:val=""/>
        <w:lvlJc w:val="left"/>
        <w:pPr>
          <w:tabs>
            <w:tab w:val="num" w:pos="0"/>
          </w:tabs>
          <w:ind w:left="0" w:hanging="482"/>
        </w:pPr>
        <w:rPr>
          <w:rFonts w:hint="default"/>
        </w:rPr>
      </w:lvl>
    </w:lvlOverride>
    <w:lvlOverride w:ilvl="4">
      <w:startOverride w:val="1"/>
      <w:lvl w:ilvl="4">
        <w:start w:val="1"/>
        <w:numFmt w:val="none"/>
        <w:lvlRestart w:val="0"/>
        <w:lvlText w:val=""/>
        <w:lvlJc w:val="left"/>
        <w:pPr>
          <w:tabs>
            <w:tab w:val="num" w:pos="0"/>
          </w:tabs>
          <w:ind w:left="0" w:hanging="482"/>
        </w:pPr>
        <w:rPr>
          <w:rFonts w:hint="default"/>
        </w:rPr>
      </w:lvl>
    </w:lvlOverride>
    <w:lvlOverride w:ilvl="5">
      <w:startOverride w:val="1"/>
      <w:lvl w:ilvl="5">
        <w:start w:val="1"/>
        <w:numFmt w:val="none"/>
        <w:lvlRestart w:val="0"/>
        <w:lvlText w:val=""/>
        <w:lvlJc w:val="left"/>
        <w:pPr>
          <w:tabs>
            <w:tab w:val="num" w:pos="0"/>
          </w:tabs>
          <w:ind w:left="0" w:hanging="482"/>
        </w:pPr>
        <w:rPr>
          <w:rFonts w:hint="default"/>
        </w:rPr>
      </w:lvl>
    </w:lvlOverride>
    <w:lvlOverride w:ilvl="6">
      <w:startOverride w:val="1"/>
      <w:lvl w:ilvl="6">
        <w:start w:val="1"/>
        <w:numFmt w:val="none"/>
        <w:lvlRestart w:val="0"/>
        <w:lvlText w:val=""/>
        <w:lvlJc w:val="left"/>
        <w:pPr>
          <w:tabs>
            <w:tab w:val="num" w:pos="0"/>
          </w:tabs>
          <w:ind w:left="0" w:hanging="482"/>
        </w:pPr>
        <w:rPr>
          <w:rFonts w:hint="default"/>
        </w:rPr>
      </w:lvl>
    </w:lvlOverride>
    <w:lvlOverride w:ilvl="7">
      <w:startOverride w:val="1"/>
      <w:lvl w:ilvl="7">
        <w:start w:val="1"/>
        <w:numFmt w:val="none"/>
        <w:lvlRestart w:val="0"/>
        <w:lvlText w:val=""/>
        <w:lvlJc w:val="left"/>
        <w:pPr>
          <w:tabs>
            <w:tab w:val="num" w:pos="0"/>
          </w:tabs>
          <w:ind w:left="0" w:hanging="482"/>
        </w:pPr>
        <w:rPr>
          <w:rFonts w:hint="default"/>
        </w:rPr>
      </w:lvl>
    </w:lvlOverride>
    <w:lvlOverride w:ilvl="8">
      <w:startOverride w:val="1"/>
      <w:lvl w:ilvl="8">
        <w:start w:val="1"/>
        <w:numFmt w:val="none"/>
        <w:lvlRestart w:val="0"/>
        <w:lvlText w:val=""/>
        <w:lvlJc w:val="left"/>
        <w:pPr>
          <w:tabs>
            <w:tab w:val="num" w:pos="0"/>
          </w:tabs>
          <w:ind w:left="0" w:hanging="482"/>
        </w:pPr>
        <w:rPr>
          <w:rFonts w:hint="default"/>
        </w:rPr>
      </w:lvl>
    </w:lvlOverride>
  </w:num>
  <w:num w:numId="23">
    <w:abstractNumId w:val="19"/>
  </w:num>
  <w:num w:numId="24">
    <w:abstractNumId w:val="26"/>
  </w:num>
  <w:num w:numId="25">
    <w:abstractNumId w:val="8"/>
  </w:num>
  <w:num w:numId="26">
    <w:abstractNumId w:val="13"/>
  </w:num>
  <w:num w:numId="27">
    <w:abstractNumId w:val="25"/>
  </w:num>
  <w:num w:numId="28">
    <w:abstractNumId w:val="0"/>
  </w:num>
  <w:num w:numId="29">
    <w:abstractNumId w:val="10"/>
  </w:num>
  <w:num w:numId="30">
    <w:abstractNumId w:val="16"/>
  </w:num>
  <w:num w:numId="31">
    <w:abstractNumId w:val="2"/>
  </w:num>
  <w:num w:numId="32">
    <w:abstractNumId w:val="4"/>
  </w:num>
  <w:num w:numId="33">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bordersDoNotSurroundHeader/>
  <w:bordersDoNotSurroundFooter/>
  <w:activeWritingStyle w:appName="MSWord" w:lang="it-IT" w:vendorID="64" w:dllVersion="6" w:nlCheck="1" w:checkStyle="0"/>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AU" w:vendorID="64" w:dllVersion="6" w:nlCheck="1" w:checkStyle="1"/>
  <w:activeWritingStyle w:appName="MSWord" w:lang="ja-JP" w:vendorID="64" w:dllVersion="6" w:nlCheck="1" w:checkStyle="1"/>
  <w:activeWritingStyle w:appName="MSWord" w:lang="es-ES"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activeWritingStyle w:appName="MSWord" w:lang="es-SV"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s-SV" w:vendorID="64" w:dllVersion="4096" w:nlCheck="1" w:checkStyle="0"/>
  <w:activeWritingStyle w:appName="MSWord" w:lang="en-GB" w:vendorID="64" w:dllVersion="131078" w:nlCheck="1" w:checkStyle="1"/>
  <w:activeWritingStyle w:appName="MSWord" w:lang="es-ES" w:vendorID="64" w:dllVersion="131078" w:nlCheck="1" w:checkStyle="0"/>
  <w:activeWritingStyle w:appName="MSWord" w:lang="en-US" w:vendorID="64" w:dllVersion="131078" w:nlCheck="1" w:checkStyle="1"/>
  <w:attachedTemplate r:id="rId1"/>
  <w:linkStyles/>
  <w:defaultTabStop w:val="720"/>
  <w:evenAndOddHeaders/>
  <w:characterSpacingControl w:val="doNotCompress"/>
  <w:hdrShapeDefaults>
    <o:shapedefaults v:ext="edit" spidmax="1638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31DE"/>
    <w:rsid w:val="000009BB"/>
    <w:rsid w:val="00000B98"/>
    <w:rsid w:val="00002E15"/>
    <w:rsid w:val="00002E3C"/>
    <w:rsid w:val="00004A6A"/>
    <w:rsid w:val="00006444"/>
    <w:rsid w:val="00006E4E"/>
    <w:rsid w:val="000124ED"/>
    <w:rsid w:val="0001339F"/>
    <w:rsid w:val="00013448"/>
    <w:rsid w:val="00017018"/>
    <w:rsid w:val="00017B4C"/>
    <w:rsid w:val="000212A4"/>
    <w:rsid w:val="000230FE"/>
    <w:rsid w:val="00024796"/>
    <w:rsid w:val="00024A03"/>
    <w:rsid w:val="000253D2"/>
    <w:rsid w:val="000276BF"/>
    <w:rsid w:val="00027D65"/>
    <w:rsid w:val="000305C3"/>
    <w:rsid w:val="00031CDF"/>
    <w:rsid w:val="00033D08"/>
    <w:rsid w:val="000352B7"/>
    <w:rsid w:val="00037B54"/>
    <w:rsid w:val="00040E14"/>
    <w:rsid w:val="00042AD0"/>
    <w:rsid w:val="000440A2"/>
    <w:rsid w:val="00045EAF"/>
    <w:rsid w:val="00046DDE"/>
    <w:rsid w:val="0004738B"/>
    <w:rsid w:val="0004786F"/>
    <w:rsid w:val="00052A7E"/>
    <w:rsid w:val="00053026"/>
    <w:rsid w:val="000544C5"/>
    <w:rsid w:val="00055277"/>
    <w:rsid w:val="00057348"/>
    <w:rsid w:val="000573DA"/>
    <w:rsid w:val="00060306"/>
    <w:rsid w:val="00060DE4"/>
    <w:rsid w:val="00062454"/>
    <w:rsid w:val="00062FE3"/>
    <w:rsid w:val="00063154"/>
    <w:rsid w:val="00063C49"/>
    <w:rsid w:val="00064741"/>
    <w:rsid w:val="00064CE5"/>
    <w:rsid w:val="00065542"/>
    <w:rsid w:val="0006583C"/>
    <w:rsid w:val="00065C90"/>
    <w:rsid w:val="00066635"/>
    <w:rsid w:val="00067CBC"/>
    <w:rsid w:val="00070899"/>
    <w:rsid w:val="00071C0B"/>
    <w:rsid w:val="000765B2"/>
    <w:rsid w:val="00080440"/>
    <w:rsid w:val="00080E25"/>
    <w:rsid w:val="00081CB1"/>
    <w:rsid w:val="00083B2F"/>
    <w:rsid w:val="00084515"/>
    <w:rsid w:val="0008458E"/>
    <w:rsid w:val="00090648"/>
    <w:rsid w:val="00090655"/>
    <w:rsid w:val="00090E08"/>
    <w:rsid w:val="00091375"/>
    <w:rsid w:val="0009257C"/>
    <w:rsid w:val="00095211"/>
    <w:rsid w:val="00097630"/>
    <w:rsid w:val="000A04BF"/>
    <w:rsid w:val="000A0652"/>
    <w:rsid w:val="000A0E3D"/>
    <w:rsid w:val="000A3BE2"/>
    <w:rsid w:val="000A4AE7"/>
    <w:rsid w:val="000A5CA8"/>
    <w:rsid w:val="000A6B03"/>
    <w:rsid w:val="000A7493"/>
    <w:rsid w:val="000A7D28"/>
    <w:rsid w:val="000B0A57"/>
    <w:rsid w:val="000B2101"/>
    <w:rsid w:val="000B2A46"/>
    <w:rsid w:val="000B39A1"/>
    <w:rsid w:val="000B3A3D"/>
    <w:rsid w:val="000C0808"/>
    <w:rsid w:val="000C1043"/>
    <w:rsid w:val="000C6B4E"/>
    <w:rsid w:val="000C6C07"/>
    <w:rsid w:val="000C6F96"/>
    <w:rsid w:val="000C77BC"/>
    <w:rsid w:val="000D2045"/>
    <w:rsid w:val="000D2F52"/>
    <w:rsid w:val="000D4009"/>
    <w:rsid w:val="000D526A"/>
    <w:rsid w:val="000D5A4E"/>
    <w:rsid w:val="000D7124"/>
    <w:rsid w:val="000E016F"/>
    <w:rsid w:val="000E14EA"/>
    <w:rsid w:val="000E1EBB"/>
    <w:rsid w:val="000E31B3"/>
    <w:rsid w:val="000E7446"/>
    <w:rsid w:val="000F1FD4"/>
    <w:rsid w:val="000F44E9"/>
    <w:rsid w:val="000F6BD1"/>
    <w:rsid w:val="000F6E84"/>
    <w:rsid w:val="000F6EAB"/>
    <w:rsid w:val="000F714F"/>
    <w:rsid w:val="000F74E4"/>
    <w:rsid w:val="00100A92"/>
    <w:rsid w:val="00101210"/>
    <w:rsid w:val="00101BCB"/>
    <w:rsid w:val="00101C92"/>
    <w:rsid w:val="00102551"/>
    <w:rsid w:val="00102D0D"/>
    <w:rsid w:val="00103272"/>
    <w:rsid w:val="00105903"/>
    <w:rsid w:val="0010741E"/>
    <w:rsid w:val="001119B1"/>
    <w:rsid w:val="0011240D"/>
    <w:rsid w:val="00115014"/>
    <w:rsid w:val="00117FCC"/>
    <w:rsid w:val="00120379"/>
    <w:rsid w:val="00120483"/>
    <w:rsid w:val="001209C1"/>
    <w:rsid w:val="00121BEA"/>
    <w:rsid w:val="00122D78"/>
    <w:rsid w:val="0012307E"/>
    <w:rsid w:val="001240C9"/>
    <w:rsid w:val="00124592"/>
    <w:rsid w:val="0013062D"/>
    <w:rsid w:val="00131489"/>
    <w:rsid w:val="00131657"/>
    <w:rsid w:val="00133A84"/>
    <w:rsid w:val="00135110"/>
    <w:rsid w:val="001368B4"/>
    <w:rsid w:val="00136E3C"/>
    <w:rsid w:val="00137B02"/>
    <w:rsid w:val="00140260"/>
    <w:rsid w:val="0014173D"/>
    <w:rsid w:val="001420C4"/>
    <w:rsid w:val="001434D2"/>
    <w:rsid w:val="00144F8E"/>
    <w:rsid w:val="00145C3F"/>
    <w:rsid w:val="00147259"/>
    <w:rsid w:val="00151A96"/>
    <w:rsid w:val="00151D38"/>
    <w:rsid w:val="00152336"/>
    <w:rsid w:val="001551EB"/>
    <w:rsid w:val="00155BE8"/>
    <w:rsid w:val="00157676"/>
    <w:rsid w:val="00160212"/>
    <w:rsid w:val="0016071E"/>
    <w:rsid w:val="00161B8C"/>
    <w:rsid w:val="001643B3"/>
    <w:rsid w:val="001659B8"/>
    <w:rsid w:val="001707F8"/>
    <w:rsid w:val="00170A84"/>
    <w:rsid w:val="00170D7A"/>
    <w:rsid w:val="00172351"/>
    <w:rsid w:val="0017333B"/>
    <w:rsid w:val="00174766"/>
    <w:rsid w:val="0017787F"/>
    <w:rsid w:val="00177F86"/>
    <w:rsid w:val="00180434"/>
    <w:rsid w:val="00183144"/>
    <w:rsid w:val="001834F2"/>
    <w:rsid w:val="0018465D"/>
    <w:rsid w:val="00185CD5"/>
    <w:rsid w:val="00191041"/>
    <w:rsid w:val="001915CD"/>
    <w:rsid w:val="00192302"/>
    <w:rsid w:val="00194C8F"/>
    <w:rsid w:val="00194FCD"/>
    <w:rsid w:val="0019660F"/>
    <w:rsid w:val="00196932"/>
    <w:rsid w:val="001A2059"/>
    <w:rsid w:val="001A482C"/>
    <w:rsid w:val="001A5421"/>
    <w:rsid w:val="001A5666"/>
    <w:rsid w:val="001A67DC"/>
    <w:rsid w:val="001A6B76"/>
    <w:rsid w:val="001A7CAA"/>
    <w:rsid w:val="001B0C2C"/>
    <w:rsid w:val="001B0DDE"/>
    <w:rsid w:val="001B0EC0"/>
    <w:rsid w:val="001B11BD"/>
    <w:rsid w:val="001B28BA"/>
    <w:rsid w:val="001B2CCE"/>
    <w:rsid w:val="001B4F4E"/>
    <w:rsid w:val="001B5AB2"/>
    <w:rsid w:val="001B71BB"/>
    <w:rsid w:val="001C1DDD"/>
    <w:rsid w:val="001C2949"/>
    <w:rsid w:val="001C766A"/>
    <w:rsid w:val="001D083C"/>
    <w:rsid w:val="001D25A5"/>
    <w:rsid w:val="001D2923"/>
    <w:rsid w:val="001D3FE3"/>
    <w:rsid w:val="001D46EB"/>
    <w:rsid w:val="001D5788"/>
    <w:rsid w:val="001D6C99"/>
    <w:rsid w:val="001D7866"/>
    <w:rsid w:val="001E09AE"/>
    <w:rsid w:val="001E0D10"/>
    <w:rsid w:val="001E0D25"/>
    <w:rsid w:val="001E384B"/>
    <w:rsid w:val="001E4797"/>
    <w:rsid w:val="001E7275"/>
    <w:rsid w:val="001E77D5"/>
    <w:rsid w:val="001F1025"/>
    <w:rsid w:val="001F1BB2"/>
    <w:rsid w:val="001F22DF"/>
    <w:rsid w:val="001F2918"/>
    <w:rsid w:val="001F6FBD"/>
    <w:rsid w:val="00200710"/>
    <w:rsid w:val="002009FC"/>
    <w:rsid w:val="00200FCC"/>
    <w:rsid w:val="0020264B"/>
    <w:rsid w:val="002051BA"/>
    <w:rsid w:val="002061C2"/>
    <w:rsid w:val="00207A8B"/>
    <w:rsid w:val="00210815"/>
    <w:rsid w:val="00211545"/>
    <w:rsid w:val="002138F3"/>
    <w:rsid w:val="00213F84"/>
    <w:rsid w:val="00215D10"/>
    <w:rsid w:val="002234E4"/>
    <w:rsid w:val="00224B89"/>
    <w:rsid w:val="00225A28"/>
    <w:rsid w:val="0023302D"/>
    <w:rsid w:val="0023355B"/>
    <w:rsid w:val="00233896"/>
    <w:rsid w:val="00235F13"/>
    <w:rsid w:val="00237109"/>
    <w:rsid w:val="00240BD4"/>
    <w:rsid w:val="002421C1"/>
    <w:rsid w:val="00242958"/>
    <w:rsid w:val="00244EB4"/>
    <w:rsid w:val="0024693E"/>
    <w:rsid w:val="00247078"/>
    <w:rsid w:val="00247434"/>
    <w:rsid w:val="0025244A"/>
    <w:rsid w:val="0025291C"/>
    <w:rsid w:val="00253AE8"/>
    <w:rsid w:val="0025404B"/>
    <w:rsid w:val="0025436C"/>
    <w:rsid w:val="0025619A"/>
    <w:rsid w:val="0026018E"/>
    <w:rsid w:val="002616C3"/>
    <w:rsid w:val="00262725"/>
    <w:rsid w:val="00262B4A"/>
    <w:rsid w:val="00264393"/>
    <w:rsid w:val="002644AB"/>
    <w:rsid w:val="0026753F"/>
    <w:rsid w:val="00270226"/>
    <w:rsid w:val="00271599"/>
    <w:rsid w:val="0027186C"/>
    <w:rsid w:val="002737EB"/>
    <w:rsid w:val="00273C20"/>
    <w:rsid w:val="00273DD4"/>
    <w:rsid w:val="00274663"/>
    <w:rsid w:val="00276E96"/>
    <w:rsid w:val="00281209"/>
    <w:rsid w:val="002813DE"/>
    <w:rsid w:val="002816AC"/>
    <w:rsid w:val="00281A2F"/>
    <w:rsid w:val="00284820"/>
    <w:rsid w:val="002875B2"/>
    <w:rsid w:val="00287617"/>
    <w:rsid w:val="00287A4F"/>
    <w:rsid w:val="00291103"/>
    <w:rsid w:val="0029136D"/>
    <w:rsid w:val="00291377"/>
    <w:rsid w:val="002A2A0D"/>
    <w:rsid w:val="002A2C3B"/>
    <w:rsid w:val="002A3824"/>
    <w:rsid w:val="002A40B2"/>
    <w:rsid w:val="002A40C1"/>
    <w:rsid w:val="002A49DF"/>
    <w:rsid w:val="002A598A"/>
    <w:rsid w:val="002A6EA6"/>
    <w:rsid w:val="002A715C"/>
    <w:rsid w:val="002A7DC7"/>
    <w:rsid w:val="002B2224"/>
    <w:rsid w:val="002B2B8A"/>
    <w:rsid w:val="002B39C8"/>
    <w:rsid w:val="002B541F"/>
    <w:rsid w:val="002B564E"/>
    <w:rsid w:val="002B5D67"/>
    <w:rsid w:val="002B6607"/>
    <w:rsid w:val="002B67BB"/>
    <w:rsid w:val="002C04BD"/>
    <w:rsid w:val="002C42B2"/>
    <w:rsid w:val="002C51B3"/>
    <w:rsid w:val="002D045D"/>
    <w:rsid w:val="002D0D7B"/>
    <w:rsid w:val="002D212F"/>
    <w:rsid w:val="002D31E0"/>
    <w:rsid w:val="002D36D3"/>
    <w:rsid w:val="002D3A3A"/>
    <w:rsid w:val="002D679D"/>
    <w:rsid w:val="002E2E26"/>
    <w:rsid w:val="002E66F2"/>
    <w:rsid w:val="002E77C8"/>
    <w:rsid w:val="002F1088"/>
    <w:rsid w:val="002F21DC"/>
    <w:rsid w:val="002F2596"/>
    <w:rsid w:val="002F2BBB"/>
    <w:rsid w:val="002F4275"/>
    <w:rsid w:val="002F53D1"/>
    <w:rsid w:val="002F6753"/>
    <w:rsid w:val="002F6AA3"/>
    <w:rsid w:val="002F74FF"/>
    <w:rsid w:val="003016B0"/>
    <w:rsid w:val="00301B23"/>
    <w:rsid w:val="00305095"/>
    <w:rsid w:val="0030552A"/>
    <w:rsid w:val="003071F1"/>
    <w:rsid w:val="003102F8"/>
    <w:rsid w:val="0031135E"/>
    <w:rsid w:val="00312441"/>
    <w:rsid w:val="00312828"/>
    <w:rsid w:val="00313146"/>
    <w:rsid w:val="00314326"/>
    <w:rsid w:val="00314D9E"/>
    <w:rsid w:val="0031529F"/>
    <w:rsid w:val="00315C30"/>
    <w:rsid w:val="0031697B"/>
    <w:rsid w:val="0032090A"/>
    <w:rsid w:val="00323136"/>
    <w:rsid w:val="0032389F"/>
    <w:rsid w:val="003252CD"/>
    <w:rsid w:val="0032658A"/>
    <w:rsid w:val="00326FCB"/>
    <w:rsid w:val="00330120"/>
    <w:rsid w:val="003320E9"/>
    <w:rsid w:val="00332196"/>
    <w:rsid w:val="00332BA2"/>
    <w:rsid w:val="0033597D"/>
    <w:rsid w:val="00337AE8"/>
    <w:rsid w:val="00337FE4"/>
    <w:rsid w:val="003403C8"/>
    <w:rsid w:val="003405AA"/>
    <w:rsid w:val="00340984"/>
    <w:rsid w:val="00340BA4"/>
    <w:rsid w:val="0034247A"/>
    <w:rsid w:val="00344CEC"/>
    <w:rsid w:val="003458C0"/>
    <w:rsid w:val="003513B5"/>
    <w:rsid w:val="0035380E"/>
    <w:rsid w:val="0035572C"/>
    <w:rsid w:val="00357144"/>
    <w:rsid w:val="00361C0D"/>
    <w:rsid w:val="00362072"/>
    <w:rsid w:val="003631E8"/>
    <w:rsid w:val="0036436A"/>
    <w:rsid w:val="00367D44"/>
    <w:rsid w:val="00367FD7"/>
    <w:rsid w:val="0037038C"/>
    <w:rsid w:val="00371232"/>
    <w:rsid w:val="00372DDC"/>
    <w:rsid w:val="003752F6"/>
    <w:rsid w:val="0037581E"/>
    <w:rsid w:val="00376DB6"/>
    <w:rsid w:val="0038178F"/>
    <w:rsid w:val="003834A1"/>
    <w:rsid w:val="00383D23"/>
    <w:rsid w:val="0038578A"/>
    <w:rsid w:val="00385876"/>
    <w:rsid w:val="003859D7"/>
    <w:rsid w:val="00385C44"/>
    <w:rsid w:val="00387CFA"/>
    <w:rsid w:val="0039224C"/>
    <w:rsid w:val="00392448"/>
    <w:rsid w:val="00393180"/>
    <w:rsid w:val="00395B9C"/>
    <w:rsid w:val="00395D2D"/>
    <w:rsid w:val="003A1358"/>
    <w:rsid w:val="003A1853"/>
    <w:rsid w:val="003A2E17"/>
    <w:rsid w:val="003A3818"/>
    <w:rsid w:val="003A4954"/>
    <w:rsid w:val="003A597D"/>
    <w:rsid w:val="003A5F7A"/>
    <w:rsid w:val="003A60EA"/>
    <w:rsid w:val="003A6474"/>
    <w:rsid w:val="003A7676"/>
    <w:rsid w:val="003A7D4D"/>
    <w:rsid w:val="003B24B3"/>
    <w:rsid w:val="003B70C2"/>
    <w:rsid w:val="003B7AEF"/>
    <w:rsid w:val="003C0B71"/>
    <w:rsid w:val="003C171C"/>
    <w:rsid w:val="003C21BD"/>
    <w:rsid w:val="003C257D"/>
    <w:rsid w:val="003C5809"/>
    <w:rsid w:val="003C7774"/>
    <w:rsid w:val="003D4956"/>
    <w:rsid w:val="003D49FF"/>
    <w:rsid w:val="003D4CD3"/>
    <w:rsid w:val="003D53AF"/>
    <w:rsid w:val="003D540E"/>
    <w:rsid w:val="003D797F"/>
    <w:rsid w:val="003E44BA"/>
    <w:rsid w:val="003E45CD"/>
    <w:rsid w:val="003E4E0F"/>
    <w:rsid w:val="003E5DDD"/>
    <w:rsid w:val="003E5E73"/>
    <w:rsid w:val="003E6C5A"/>
    <w:rsid w:val="003E71D6"/>
    <w:rsid w:val="003F015F"/>
    <w:rsid w:val="003F2D3E"/>
    <w:rsid w:val="003F313F"/>
    <w:rsid w:val="003F4EA7"/>
    <w:rsid w:val="003F5F6E"/>
    <w:rsid w:val="003F6733"/>
    <w:rsid w:val="0040004E"/>
    <w:rsid w:val="00400519"/>
    <w:rsid w:val="00401E05"/>
    <w:rsid w:val="00402C1C"/>
    <w:rsid w:val="004073A1"/>
    <w:rsid w:val="004101AD"/>
    <w:rsid w:val="0041131D"/>
    <w:rsid w:val="004114AD"/>
    <w:rsid w:val="00413349"/>
    <w:rsid w:val="004142F6"/>
    <w:rsid w:val="00415D16"/>
    <w:rsid w:val="004164D9"/>
    <w:rsid w:val="00416E6F"/>
    <w:rsid w:val="00417A51"/>
    <w:rsid w:val="004201A8"/>
    <w:rsid w:val="00421DD5"/>
    <w:rsid w:val="00424C77"/>
    <w:rsid w:val="004267FA"/>
    <w:rsid w:val="00427E12"/>
    <w:rsid w:val="00427E30"/>
    <w:rsid w:val="00427EC0"/>
    <w:rsid w:val="00433698"/>
    <w:rsid w:val="0043658C"/>
    <w:rsid w:val="00437ECC"/>
    <w:rsid w:val="004406E0"/>
    <w:rsid w:val="004418DB"/>
    <w:rsid w:val="0044415C"/>
    <w:rsid w:val="00447204"/>
    <w:rsid w:val="00447395"/>
    <w:rsid w:val="0045147A"/>
    <w:rsid w:val="00455AB3"/>
    <w:rsid w:val="004562D8"/>
    <w:rsid w:val="00457068"/>
    <w:rsid w:val="00457481"/>
    <w:rsid w:val="004602F7"/>
    <w:rsid w:val="0046103D"/>
    <w:rsid w:val="00461E4F"/>
    <w:rsid w:val="00463D06"/>
    <w:rsid w:val="0046674A"/>
    <w:rsid w:val="00466F6D"/>
    <w:rsid w:val="004677DC"/>
    <w:rsid w:val="004735CB"/>
    <w:rsid w:val="00473C43"/>
    <w:rsid w:val="004747D4"/>
    <w:rsid w:val="00475725"/>
    <w:rsid w:val="004808B6"/>
    <w:rsid w:val="00480CB0"/>
    <w:rsid w:val="004811D6"/>
    <w:rsid w:val="00481A0E"/>
    <w:rsid w:val="00482198"/>
    <w:rsid w:val="00485021"/>
    <w:rsid w:val="00491B95"/>
    <w:rsid w:val="00493208"/>
    <w:rsid w:val="004938B4"/>
    <w:rsid w:val="004938D0"/>
    <w:rsid w:val="004953C3"/>
    <w:rsid w:val="00495741"/>
    <w:rsid w:val="00495B54"/>
    <w:rsid w:val="004A12CF"/>
    <w:rsid w:val="004A20A0"/>
    <w:rsid w:val="004A421D"/>
    <w:rsid w:val="004A5866"/>
    <w:rsid w:val="004A7BF5"/>
    <w:rsid w:val="004A7F01"/>
    <w:rsid w:val="004B134E"/>
    <w:rsid w:val="004B2B8C"/>
    <w:rsid w:val="004B3D84"/>
    <w:rsid w:val="004B4BDE"/>
    <w:rsid w:val="004B7F34"/>
    <w:rsid w:val="004C4EFD"/>
    <w:rsid w:val="004C6D76"/>
    <w:rsid w:val="004D153E"/>
    <w:rsid w:val="004D2581"/>
    <w:rsid w:val="004D5A09"/>
    <w:rsid w:val="004D5B5D"/>
    <w:rsid w:val="004D5F5A"/>
    <w:rsid w:val="004E08A6"/>
    <w:rsid w:val="004E1CB8"/>
    <w:rsid w:val="004E285B"/>
    <w:rsid w:val="004E32F0"/>
    <w:rsid w:val="004E3A28"/>
    <w:rsid w:val="004E558C"/>
    <w:rsid w:val="004F0713"/>
    <w:rsid w:val="004F48AE"/>
    <w:rsid w:val="004F4C29"/>
    <w:rsid w:val="004F5736"/>
    <w:rsid w:val="004F5F23"/>
    <w:rsid w:val="004F7AB4"/>
    <w:rsid w:val="004F7C94"/>
    <w:rsid w:val="004F7E07"/>
    <w:rsid w:val="0050138D"/>
    <w:rsid w:val="0050351B"/>
    <w:rsid w:val="00503E23"/>
    <w:rsid w:val="00506E40"/>
    <w:rsid w:val="00507291"/>
    <w:rsid w:val="00513533"/>
    <w:rsid w:val="00513913"/>
    <w:rsid w:val="00516083"/>
    <w:rsid w:val="005207A1"/>
    <w:rsid w:val="00520B6E"/>
    <w:rsid w:val="00521AF3"/>
    <w:rsid w:val="00521FE1"/>
    <w:rsid w:val="00523AE0"/>
    <w:rsid w:val="005254E9"/>
    <w:rsid w:val="005272F0"/>
    <w:rsid w:val="005306B5"/>
    <w:rsid w:val="005314E2"/>
    <w:rsid w:val="00533375"/>
    <w:rsid w:val="00533E31"/>
    <w:rsid w:val="00535536"/>
    <w:rsid w:val="0053725F"/>
    <w:rsid w:val="0053749C"/>
    <w:rsid w:val="005378BB"/>
    <w:rsid w:val="005403B9"/>
    <w:rsid w:val="00540B54"/>
    <w:rsid w:val="00541288"/>
    <w:rsid w:val="00543682"/>
    <w:rsid w:val="0054402C"/>
    <w:rsid w:val="00546257"/>
    <w:rsid w:val="00546893"/>
    <w:rsid w:val="00552B72"/>
    <w:rsid w:val="00552E0E"/>
    <w:rsid w:val="00556BAB"/>
    <w:rsid w:val="005601D5"/>
    <w:rsid w:val="00561623"/>
    <w:rsid w:val="00561B38"/>
    <w:rsid w:val="00565DF8"/>
    <w:rsid w:val="005678E7"/>
    <w:rsid w:val="00570F08"/>
    <w:rsid w:val="005726A1"/>
    <w:rsid w:val="00573933"/>
    <w:rsid w:val="00574AED"/>
    <w:rsid w:val="005755D2"/>
    <w:rsid w:val="00575F1E"/>
    <w:rsid w:val="00576CA7"/>
    <w:rsid w:val="005775D4"/>
    <w:rsid w:val="00582274"/>
    <w:rsid w:val="00583F86"/>
    <w:rsid w:val="00585DFF"/>
    <w:rsid w:val="00586817"/>
    <w:rsid w:val="00586B18"/>
    <w:rsid w:val="005901A8"/>
    <w:rsid w:val="00592E24"/>
    <w:rsid w:val="00594224"/>
    <w:rsid w:val="005956B5"/>
    <w:rsid w:val="005964E8"/>
    <w:rsid w:val="00596B41"/>
    <w:rsid w:val="005973CD"/>
    <w:rsid w:val="005975D4"/>
    <w:rsid w:val="005A1801"/>
    <w:rsid w:val="005A3649"/>
    <w:rsid w:val="005A49CD"/>
    <w:rsid w:val="005A5463"/>
    <w:rsid w:val="005A6267"/>
    <w:rsid w:val="005A6DA5"/>
    <w:rsid w:val="005B1650"/>
    <w:rsid w:val="005B63C9"/>
    <w:rsid w:val="005B6AA1"/>
    <w:rsid w:val="005B6EC1"/>
    <w:rsid w:val="005C2AE5"/>
    <w:rsid w:val="005C3068"/>
    <w:rsid w:val="005C443C"/>
    <w:rsid w:val="005C5523"/>
    <w:rsid w:val="005C5535"/>
    <w:rsid w:val="005C66DA"/>
    <w:rsid w:val="005C7E1C"/>
    <w:rsid w:val="005D25C1"/>
    <w:rsid w:val="005D371F"/>
    <w:rsid w:val="005E0797"/>
    <w:rsid w:val="005E0BC8"/>
    <w:rsid w:val="005E2404"/>
    <w:rsid w:val="005E4066"/>
    <w:rsid w:val="005E467D"/>
    <w:rsid w:val="005E6025"/>
    <w:rsid w:val="005E6363"/>
    <w:rsid w:val="005F1A6B"/>
    <w:rsid w:val="005F3BCC"/>
    <w:rsid w:val="005F3E71"/>
    <w:rsid w:val="005F424F"/>
    <w:rsid w:val="005F4F28"/>
    <w:rsid w:val="005F5627"/>
    <w:rsid w:val="005F5EE9"/>
    <w:rsid w:val="005F769A"/>
    <w:rsid w:val="00600348"/>
    <w:rsid w:val="006018D5"/>
    <w:rsid w:val="00603074"/>
    <w:rsid w:val="00604292"/>
    <w:rsid w:val="006056BC"/>
    <w:rsid w:val="00605925"/>
    <w:rsid w:val="00606CE4"/>
    <w:rsid w:val="006100A1"/>
    <w:rsid w:val="00612969"/>
    <w:rsid w:val="00612E2D"/>
    <w:rsid w:val="006131DE"/>
    <w:rsid w:val="00613CFA"/>
    <w:rsid w:val="00613F8C"/>
    <w:rsid w:val="006141DC"/>
    <w:rsid w:val="006161E6"/>
    <w:rsid w:val="006170AB"/>
    <w:rsid w:val="00617DC6"/>
    <w:rsid w:val="00621D7A"/>
    <w:rsid w:val="0062202B"/>
    <w:rsid w:val="006224E4"/>
    <w:rsid w:val="00622B29"/>
    <w:rsid w:val="0062506E"/>
    <w:rsid w:val="006252E9"/>
    <w:rsid w:val="00625F69"/>
    <w:rsid w:val="00625FB3"/>
    <w:rsid w:val="00630EDA"/>
    <w:rsid w:val="00632B70"/>
    <w:rsid w:val="00632FF3"/>
    <w:rsid w:val="00633E2D"/>
    <w:rsid w:val="006340A9"/>
    <w:rsid w:val="0064079C"/>
    <w:rsid w:val="00641046"/>
    <w:rsid w:val="00641862"/>
    <w:rsid w:val="00643240"/>
    <w:rsid w:val="00643ADB"/>
    <w:rsid w:val="00646B4E"/>
    <w:rsid w:val="00646EB9"/>
    <w:rsid w:val="0064728E"/>
    <w:rsid w:val="006476D2"/>
    <w:rsid w:val="006478C5"/>
    <w:rsid w:val="006501EF"/>
    <w:rsid w:val="00650828"/>
    <w:rsid w:val="006568A7"/>
    <w:rsid w:val="006570F7"/>
    <w:rsid w:val="00657685"/>
    <w:rsid w:val="00657CA8"/>
    <w:rsid w:val="0066102F"/>
    <w:rsid w:val="0066219B"/>
    <w:rsid w:val="00662614"/>
    <w:rsid w:val="006631A5"/>
    <w:rsid w:val="006646A2"/>
    <w:rsid w:val="0066591F"/>
    <w:rsid w:val="00665D6A"/>
    <w:rsid w:val="006663ED"/>
    <w:rsid w:val="00667CC0"/>
    <w:rsid w:val="0067341F"/>
    <w:rsid w:val="00673E2A"/>
    <w:rsid w:val="00674670"/>
    <w:rsid w:val="00674941"/>
    <w:rsid w:val="00674F25"/>
    <w:rsid w:val="0067585C"/>
    <w:rsid w:val="00675927"/>
    <w:rsid w:val="00676067"/>
    <w:rsid w:val="006811D3"/>
    <w:rsid w:val="00684008"/>
    <w:rsid w:val="0068781C"/>
    <w:rsid w:val="00692565"/>
    <w:rsid w:val="006928F8"/>
    <w:rsid w:val="00692902"/>
    <w:rsid w:val="006933E4"/>
    <w:rsid w:val="006938DC"/>
    <w:rsid w:val="00693EB2"/>
    <w:rsid w:val="00695040"/>
    <w:rsid w:val="006964D0"/>
    <w:rsid w:val="00696A82"/>
    <w:rsid w:val="006A2101"/>
    <w:rsid w:val="006A30B7"/>
    <w:rsid w:val="006A371F"/>
    <w:rsid w:val="006A3B8F"/>
    <w:rsid w:val="006A43AA"/>
    <w:rsid w:val="006A70CB"/>
    <w:rsid w:val="006B3974"/>
    <w:rsid w:val="006B5F14"/>
    <w:rsid w:val="006B7830"/>
    <w:rsid w:val="006C1AD9"/>
    <w:rsid w:val="006C353B"/>
    <w:rsid w:val="006C5E23"/>
    <w:rsid w:val="006C6F36"/>
    <w:rsid w:val="006D00E0"/>
    <w:rsid w:val="006D0E4C"/>
    <w:rsid w:val="006D171E"/>
    <w:rsid w:val="006D18F1"/>
    <w:rsid w:val="006D2731"/>
    <w:rsid w:val="006D3E43"/>
    <w:rsid w:val="006D4737"/>
    <w:rsid w:val="006D6282"/>
    <w:rsid w:val="006D7CF1"/>
    <w:rsid w:val="006E15DA"/>
    <w:rsid w:val="006E1E28"/>
    <w:rsid w:val="006E5C7A"/>
    <w:rsid w:val="006E622F"/>
    <w:rsid w:val="006E77D9"/>
    <w:rsid w:val="006F1814"/>
    <w:rsid w:val="006F464D"/>
    <w:rsid w:val="006F4A2F"/>
    <w:rsid w:val="006F4D23"/>
    <w:rsid w:val="006F4D6D"/>
    <w:rsid w:val="007006F2"/>
    <w:rsid w:val="00700FF6"/>
    <w:rsid w:val="00701ADE"/>
    <w:rsid w:val="00704B15"/>
    <w:rsid w:val="0070541A"/>
    <w:rsid w:val="00706298"/>
    <w:rsid w:val="00706C6D"/>
    <w:rsid w:val="00706DAC"/>
    <w:rsid w:val="007105CC"/>
    <w:rsid w:val="007133A4"/>
    <w:rsid w:val="00714D49"/>
    <w:rsid w:val="007161B5"/>
    <w:rsid w:val="00716CAE"/>
    <w:rsid w:val="007174F6"/>
    <w:rsid w:val="007177AC"/>
    <w:rsid w:val="00726267"/>
    <w:rsid w:val="007262C6"/>
    <w:rsid w:val="007317E1"/>
    <w:rsid w:val="00734EC5"/>
    <w:rsid w:val="00735E26"/>
    <w:rsid w:val="0073613D"/>
    <w:rsid w:val="007361FB"/>
    <w:rsid w:val="007363DF"/>
    <w:rsid w:val="00736A83"/>
    <w:rsid w:val="00736AA6"/>
    <w:rsid w:val="00736CAF"/>
    <w:rsid w:val="00740806"/>
    <w:rsid w:val="0074295E"/>
    <w:rsid w:val="00742AE5"/>
    <w:rsid w:val="00745417"/>
    <w:rsid w:val="00745F22"/>
    <w:rsid w:val="007465EB"/>
    <w:rsid w:val="007472F2"/>
    <w:rsid w:val="007472FE"/>
    <w:rsid w:val="0075012E"/>
    <w:rsid w:val="00750DEF"/>
    <w:rsid w:val="00751DF8"/>
    <w:rsid w:val="00752A3B"/>
    <w:rsid w:val="00754CAE"/>
    <w:rsid w:val="00755E53"/>
    <w:rsid w:val="007571CC"/>
    <w:rsid w:val="00760FA1"/>
    <w:rsid w:val="0076106A"/>
    <w:rsid w:val="00764089"/>
    <w:rsid w:val="007646D2"/>
    <w:rsid w:val="00765E20"/>
    <w:rsid w:val="00772842"/>
    <w:rsid w:val="00772C90"/>
    <w:rsid w:val="00773390"/>
    <w:rsid w:val="00773B26"/>
    <w:rsid w:val="00775AC2"/>
    <w:rsid w:val="007762A4"/>
    <w:rsid w:val="00776418"/>
    <w:rsid w:val="00776CC2"/>
    <w:rsid w:val="00785042"/>
    <w:rsid w:val="00786EA8"/>
    <w:rsid w:val="00792024"/>
    <w:rsid w:val="0079217F"/>
    <w:rsid w:val="00792425"/>
    <w:rsid w:val="00793175"/>
    <w:rsid w:val="0079737F"/>
    <w:rsid w:val="007A0447"/>
    <w:rsid w:val="007A0E22"/>
    <w:rsid w:val="007A27F0"/>
    <w:rsid w:val="007A3186"/>
    <w:rsid w:val="007A383F"/>
    <w:rsid w:val="007A4A2C"/>
    <w:rsid w:val="007A4DE4"/>
    <w:rsid w:val="007A77B4"/>
    <w:rsid w:val="007A7A73"/>
    <w:rsid w:val="007A7F0C"/>
    <w:rsid w:val="007B1F21"/>
    <w:rsid w:val="007B2427"/>
    <w:rsid w:val="007B398B"/>
    <w:rsid w:val="007B5B9F"/>
    <w:rsid w:val="007C177B"/>
    <w:rsid w:val="007C1F22"/>
    <w:rsid w:val="007C2D81"/>
    <w:rsid w:val="007C3376"/>
    <w:rsid w:val="007C49DA"/>
    <w:rsid w:val="007C738B"/>
    <w:rsid w:val="007C75C4"/>
    <w:rsid w:val="007D0DC8"/>
    <w:rsid w:val="007D2212"/>
    <w:rsid w:val="007D240A"/>
    <w:rsid w:val="007D2507"/>
    <w:rsid w:val="007D2A1B"/>
    <w:rsid w:val="007D491E"/>
    <w:rsid w:val="007D61E9"/>
    <w:rsid w:val="007E0093"/>
    <w:rsid w:val="007E6775"/>
    <w:rsid w:val="007E6FB2"/>
    <w:rsid w:val="007E7D32"/>
    <w:rsid w:val="007F0203"/>
    <w:rsid w:val="007F037A"/>
    <w:rsid w:val="007F0AC4"/>
    <w:rsid w:val="007F18F0"/>
    <w:rsid w:val="007F2B6A"/>
    <w:rsid w:val="007F785C"/>
    <w:rsid w:val="007F7EB9"/>
    <w:rsid w:val="00800411"/>
    <w:rsid w:val="008005BA"/>
    <w:rsid w:val="008015DB"/>
    <w:rsid w:val="008025BA"/>
    <w:rsid w:val="00802890"/>
    <w:rsid w:val="00803141"/>
    <w:rsid w:val="00805014"/>
    <w:rsid w:val="00805546"/>
    <w:rsid w:val="00806D0B"/>
    <w:rsid w:val="008105E9"/>
    <w:rsid w:val="008112FD"/>
    <w:rsid w:val="00811BDA"/>
    <w:rsid w:val="00812792"/>
    <w:rsid w:val="008129C5"/>
    <w:rsid w:val="00812C50"/>
    <w:rsid w:val="00812F2B"/>
    <w:rsid w:val="0081531C"/>
    <w:rsid w:val="00815BAB"/>
    <w:rsid w:val="00815BCC"/>
    <w:rsid w:val="00816924"/>
    <w:rsid w:val="00817C65"/>
    <w:rsid w:val="00817F5B"/>
    <w:rsid w:val="00820AE5"/>
    <w:rsid w:val="00824620"/>
    <w:rsid w:val="00825761"/>
    <w:rsid w:val="00827867"/>
    <w:rsid w:val="00827D3D"/>
    <w:rsid w:val="0083241D"/>
    <w:rsid w:val="008328F2"/>
    <w:rsid w:val="00833B00"/>
    <w:rsid w:val="008356CB"/>
    <w:rsid w:val="00840550"/>
    <w:rsid w:val="00840880"/>
    <w:rsid w:val="00841501"/>
    <w:rsid w:val="00841BB0"/>
    <w:rsid w:val="00842B3E"/>
    <w:rsid w:val="008435B7"/>
    <w:rsid w:val="00843B78"/>
    <w:rsid w:val="008442EB"/>
    <w:rsid w:val="0084662C"/>
    <w:rsid w:val="00850E84"/>
    <w:rsid w:val="00851BD5"/>
    <w:rsid w:val="00852AEB"/>
    <w:rsid w:val="00853026"/>
    <w:rsid w:val="008546AC"/>
    <w:rsid w:val="00856D1B"/>
    <w:rsid w:val="00860B80"/>
    <w:rsid w:val="008640F0"/>
    <w:rsid w:val="00864A66"/>
    <w:rsid w:val="00865067"/>
    <w:rsid w:val="008655AB"/>
    <w:rsid w:val="00865F13"/>
    <w:rsid w:val="00866DFB"/>
    <w:rsid w:val="00870D58"/>
    <w:rsid w:val="00870F01"/>
    <w:rsid w:val="00871819"/>
    <w:rsid w:val="00876A53"/>
    <w:rsid w:val="00877BB8"/>
    <w:rsid w:val="0088183B"/>
    <w:rsid w:val="00882B3F"/>
    <w:rsid w:val="008849E9"/>
    <w:rsid w:val="0088681D"/>
    <w:rsid w:val="00886EF3"/>
    <w:rsid w:val="00887CB8"/>
    <w:rsid w:val="00894816"/>
    <w:rsid w:val="008956F6"/>
    <w:rsid w:val="008959B6"/>
    <w:rsid w:val="00896707"/>
    <w:rsid w:val="008A0E4C"/>
    <w:rsid w:val="008A1D41"/>
    <w:rsid w:val="008A1F52"/>
    <w:rsid w:val="008A2886"/>
    <w:rsid w:val="008A3435"/>
    <w:rsid w:val="008A4C59"/>
    <w:rsid w:val="008B1F44"/>
    <w:rsid w:val="008B55B3"/>
    <w:rsid w:val="008B6EA9"/>
    <w:rsid w:val="008B73D0"/>
    <w:rsid w:val="008C05BF"/>
    <w:rsid w:val="008C072C"/>
    <w:rsid w:val="008C0DDD"/>
    <w:rsid w:val="008C2C30"/>
    <w:rsid w:val="008C3F16"/>
    <w:rsid w:val="008C66DD"/>
    <w:rsid w:val="008C72C4"/>
    <w:rsid w:val="008C745D"/>
    <w:rsid w:val="008D3B05"/>
    <w:rsid w:val="008D4D00"/>
    <w:rsid w:val="008D54FE"/>
    <w:rsid w:val="008D59EF"/>
    <w:rsid w:val="008E1AEE"/>
    <w:rsid w:val="008E248E"/>
    <w:rsid w:val="008E2B42"/>
    <w:rsid w:val="008E4ECD"/>
    <w:rsid w:val="008E5842"/>
    <w:rsid w:val="008E5C1D"/>
    <w:rsid w:val="008E642B"/>
    <w:rsid w:val="008E7A7A"/>
    <w:rsid w:val="008F1104"/>
    <w:rsid w:val="008F1937"/>
    <w:rsid w:val="008F2299"/>
    <w:rsid w:val="008F23AD"/>
    <w:rsid w:val="008F30D6"/>
    <w:rsid w:val="008F58B2"/>
    <w:rsid w:val="009005A8"/>
    <w:rsid w:val="00902D1C"/>
    <w:rsid w:val="0090302C"/>
    <w:rsid w:val="009060CA"/>
    <w:rsid w:val="0090647B"/>
    <w:rsid w:val="00907017"/>
    <w:rsid w:val="00907417"/>
    <w:rsid w:val="00907E58"/>
    <w:rsid w:val="00910449"/>
    <w:rsid w:val="00912552"/>
    <w:rsid w:val="00913A05"/>
    <w:rsid w:val="00914D72"/>
    <w:rsid w:val="0091607F"/>
    <w:rsid w:val="009171FB"/>
    <w:rsid w:val="00920D3E"/>
    <w:rsid w:val="00920FB0"/>
    <w:rsid w:val="009222E0"/>
    <w:rsid w:val="00922B6D"/>
    <w:rsid w:val="0092457C"/>
    <w:rsid w:val="00924702"/>
    <w:rsid w:val="00930622"/>
    <w:rsid w:val="00931732"/>
    <w:rsid w:val="009327FC"/>
    <w:rsid w:val="0093495B"/>
    <w:rsid w:val="00941BF5"/>
    <w:rsid w:val="00942201"/>
    <w:rsid w:val="00943EF1"/>
    <w:rsid w:val="009441D5"/>
    <w:rsid w:val="0094730D"/>
    <w:rsid w:val="0095017C"/>
    <w:rsid w:val="00951A61"/>
    <w:rsid w:val="00951E7E"/>
    <w:rsid w:val="00952CE8"/>
    <w:rsid w:val="0095366D"/>
    <w:rsid w:val="00956DA4"/>
    <w:rsid w:val="00957D0D"/>
    <w:rsid w:val="00960250"/>
    <w:rsid w:val="00960F57"/>
    <w:rsid w:val="00962056"/>
    <w:rsid w:val="00963CC6"/>
    <w:rsid w:val="00964322"/>
    <w:rsid w:val="0096600C"/>
    <w:rsid w:val="009718D6"/>
    <w:rsid w:val="00973C5E"/>
    <w:rsid w:val="00973CCE"/>
    <w:rsid w:val="009764C2"/>
    <w:rsid w:val="00981BB9"/>
    <w:rsid w:val="009824EC"/>
    <w:rsid w:val="00982DD0"/>
    <w:rsid w:val="00987B98"/>
    <w:rsid w:val="009917BA"/>
    <w:rsid w:val="00992C3B"/>
    <w:rsid w:val="00993E2D"/>
    <w:rsid w:val="009942D9"/>
    <w:rsid w:val="00995FAD"/>
    <w:rsid w:val="00997AE4"/>
    <w:rsid w:val="00997D06"/>
    <w:rsid w:val="009A062A"/>
    <w:rsid w:val="009A31E4"/>
    <w:rsid w:val="009A5A03"/>
    <w:rsid w:val="009B246F"/>
    <w:rsid w:val="009B574E"/>
    <w:rsid w:val="009B6CC4"/>
    <w:rsid w:val="009B736B"/>
    <w:rsid w:val="009B7CB1"/>
    <w:rsid w:val="009C0AD4"/>
    <w:rsid w:val="009C0CDA"/>
    <w:rsid w:val="009C1E00"/>
    <w:rsid w:val="009C5F39"/>
    <w:rsid w:val="009C69BA"/>
    <w:rsid w:val="009C6E7D"/>
    <w:rsid w:val="009C7AF3"/>
    <w:rsid w:val="009D08AC"/>
    <w:rsid w:val="009D1795"/>
    <w:rsid w:val="009D2EA8"/>
    <w:rsid w:val="009D3CA5"/>
    <w:rsid w:val="009D5F98"/>
    <w:rsid w:val="009D67C1"/>
    <w:rsid w:val="009E2177"/>
    <w:rsid w:val="009E3BF3"/>
    <w:rsid w:val="009E4058"/>
    <w:rsid w:val="009E4339"/>
    <w:rsid w:val="009F07B3"/>
    <w:rsid w:val="009F0A66"/>
    <w:rsid w:val="009F21CE"/>
    <w:rsid w:val="009F3831"/>
    <w:rsid w:val="009F43B5"/>
    <w:rsid w:val="009F4448"/>
    <w:rsid w:val="00A00198"/>
    <w:rsid w:val="00A022D7"/>
    <w:rsid w:val="00A02AB6"/>
    <w:rsid w:val="00A05BDB"/>
    <w:rsid w:val="00A06B15"/>
    <w:rsid w:val="00A06B9E"/>
    <w:rsid w:val="00A0723D"/>
    <w:rsid w:val="00A0782F"/>
    <w:rsid w:val="00A109F5"/>
    <w:rsid w:val="00A12D12"/>
    <w:rsid w:val="00A13F76"/>
    <w:rsid w:val="00A147D7"/>
    <w:rsid w:val="00A2005F"/>
    <w:rsid w:val="00A2321B"/>
    <w:rsid w:val="00A23FBC"/>
    <w:rsid w:val="00A25B03"/>
    <w:rsid w:val="00A269BA"/>
    <w:rsid w:val="00A2703A"/>
    <w:rsid w:val="00A27960"/>
    <w:rsid w:val="00A27C8D"/>
    <w:rsid w:val="00A320A1"/>
    <w:rsid w:val="00A35C57"/>
    <w:rsid w:val="00A407BF"/>
    <w:rsid w:val="00A410A3"/>
    <w:rsid w:val="00A429D4"/>
    <w:rsid w:val="00A44CB9"/>
    <w:rsid w:val="00A4522D"/>
    <w:rsid w:val="00A454B1"/>
    <w:rsid w:val="00A463E2"/>
    <w:rsid w:val="00A46787"/>
    <w:rsid w:val="00A467BE"/>
    <w:rsid w:val="00A47C52"/>
    <w:rsid w:val="00A527FB"/>
    <w:rsid w:val="00A577A6"/>
    <w:rsid w:val="00A6173C"/>
    <w:rsid w:val="00A63312"/>
    <w:rsid w:val="00A66B23"/>
    <w:rsid w:val="00A67218"/>
    <w:rsid w:val="00A677D0"/>
    <w:rsid w:val="00A706FF"/>
    <w:rsid w:val="00A70BBC"/>
    <w:rsid w:val="00A7192B"/>
    <w:rsid w:val="00A74C0E"/>
    <w:rsid w:val="00A74F9B"/>
    <w:rsid w:val="00A77E08"/>
    <w:rsid w:val="00A80D4A"/>
    <w:rsid w:val="00A82923"/>
    <w:rsid w:val="00A87E06"/>
    <w:rsid w:val="00A920BE"/>
    <w:rsid w:val="00A943BD"/>
    <w:rsid w:val="00A9548F"/>
    <w:rsid w:val="00A96205"/>
    <w:rsid w:val="00A96839"/>
    <w:rsid w:val="00A97540"/>
    <w:rsid w:val="00AA591A"/>
    <w:rsid w:val="00AA5BFC"/>
    <w:rsid w:val="00AA75C1"/>
    <w:rsid w:val="00AB4CA8"/>
    <w:rsid w:val="00AB615D"/>
    <w:rsid w:val="00AB76F4"/>
    <w:rsid w:val="00AB7A90"/>
    <w:rsid w:val="00AC062C"/>
    <w:rsid w:val="00AC0D06"/>
    <w:rsid w:val="00AC299E"/>
    <w:rsid w:val="00AC34C4"/>
    <w:rsid w:val="00AC360A"/>
    <w:rsid w:val="00AC48AB"/>
    <w:rsid w:val="00AC4D7A"/>
    <w:rsid w:val="00AC5222"/>
    <w:rsid w:val="00AC61D6"/>
    <w:rsid w:val="00AC79D3"/>
    <w:rsid w:val="00AD057B"/>
    <w:rsid w:val="00AD3279"/>
    <w:rsid w:val="00AD40A1"/>
    <w:rsid w:val="00AD5C2D"/>
    <w:rsid w:val="00AD6052"/>
    <w:rsid w:val="00AE1349"/>
    <w:rsid w:val="00AE3024"/>
    <w:rsid w:val="00AE4C72"/>
    <w:rsid w:val="00AE522E"/>
    <w:rsid w:val="00AE5BB1"/>
    <w:rsid w:val="00AE6586"/>
    <w:rsid w:val="00AE7338"/>
    <w:rsid w:val="00AE76A7"/>
    <w:rsid w:val="00AF0974"/>
    <w:rsid w:val="00AF0FAA"/>
    <w:rsid w:val="00AF1B3C"/>
    <w:rsid w:val="00AF37FA"/>
    <w:rsid w:val="00AF5C72"/>
    <w:rsid w:val="00B01CA5"/>
    <w:rsid w:val="00B01DE7"/>
    <w:rsid w:val="00B027F2"/>
    <w:rsid w:val="00B05973"/>
    <w:rsid w:val="00B066FA"/>
    <w:rsid w:val="00B07C94"/>
    <w:rsid w:val="00B12541"/>
    <w:rsid w:val="00B1370E"/>
    <w:rsid w:val="00B142AC"/>
    <w:rsid w:val="00B20A22"/>
    <w:rsid w:val="00B20AF6"/>
    <w:rsid w:val="00B225BC"/>
    <w:rsid w:val="00B22927"/>
    <w:rsid w:val="00B23002"/>
    <w:rsid w:val="00B23339"/>
    <w:rsid w:val="00B23E6A"/>
    <w:rsid w:val="00B240C8"/>
    <w:rsid w:val="00B25592"/>
    <w:rsid w:val="00B2564F"/>
    <w:rsid w:val="00B279DC"/>
    <w:rsid w:val="00B33AA8"/>
    <w:rsid w:val="00B373DF"/>
    <w:rsid w:val="00B37491"/>
    <w:rsid w:val="00B401EA"/>
    <w:rsid w:val="00B407B6"/>
    <w:rsid w:val="00B4324D"/>
    <w:rsid w:val="00B437CC"/>
    <w:rsid w:val="00B43966"/>
    <w:rsid w:val="00B450CD"/>
    <w:rsid w:val="00B46CEE"/>
    <w:rsid w:val="00B477C7"/>
    <w:rsid w:val="00B5051F"/>
    <w:rsid w:val="00B508ED"/>
    <w:rsid w:val="00B52398"/>
    <w:rsid w:val="00B534E9"/>
    <w:rsid w:val="00B538D7"/>
    <w:rsid w:val="00B64DCE"/>
    <w:rsid w:val="00B665A2"/>
    <w:rsid w:val="00B70243"/>
    <w:rsid w:val="00B70B81"/>
    <w:rsid w:val="00B711EE"/>
    <w:rsid w:val="00B748DF"/>
    <w:rsid w:val="00B757B6"/>
    <w:rsid w:val="00B75A22"/>
    <w:rsid w:val="00B764A7"/>
    <w:rsid w:val="00B76E90"/>
    <w:rsid w:val="00B7733B"/>
    <w:rsid w:val="00B80154"/>
    <w:rsid w:val="00B814A7"/>
    <w:rsid w:val="00B82E0E"/>
    <w:rsid w:val="00B83057"/>
    <w:rsid w:val="00B83E24"/>
    <w:rsid w:val="00B84495"/>
    <w:rsid w:val="00B84BC8"/>
    <w:rsid w:val="00B87749"/>
    <w:rsid w:val="00B90314"/>
    <w:rsid w:val="00B90665"/>
    <w:rsid w:val="00B90A7A"/>
    <w:rsid w:val="00B90CD0"/>
    <w:rsid w:val="00B9246C"/>
    <w:rsid w:val="00B93333"/>
    <w:rsid w:val="00B93456"/>
    <w:rsid w:val="00B9444A"/>
    <w:rsid w:val="00B94F75"/>
    <w:rsid w:val="00BA3384"/>
    <w:rsid w:val="00BA5863"/>
    <w:rsid w:val="00BA655A"/>
    <w:rsid w:val="00BA7103"/>
    <w:rsid w:val="00BA7B1A"/>
    <w:rsid w:val="00BB0FAE"/>
    <w:rsid w:val="00BB287A"/>
    <w:rsid w:val="00BB4389"/>
    <w:rsid w:val="00BB4695"/>
    <w:rsid w:val="00BB4FD3"/>
    <w:rsid w:val="00BB6090"/>
    <w:rsid w:val="00BB6864"/>
    <w:rsid w:val="00BC15A5"/>
    <w:rsid w:val="00BC3BD4"/>
    <w:rsid w:val="00BC4585"/>
    <w:rsid w:val="00BC4F25"/>
    <w:rsid w:val="00BC7BBA"/>
    <w:rsid w:val="00BD08D4"/>
    <w:rsid w:val="00BD1AB9"/>
    <w:rsid w:val="00BD2CB4"/>
    <w:rsid w:val="00BD2EAE"/>
    <w:rsid w:val="00BD6331"/>
    <w:rsid w:val="00BD704F"/>
    <w:rsid w:val="00BD7CA6"/>
    <w:rsid w:val="00BE04DE"/>
    <w:rsid w:val="00BE0E5E"/>
    <w:rsid w:val="00BE103A"/>
    <w:rsid w:val="00BE2170"/>
    <w:rsid w:val="00BE302C"/>
    <w:rsid w:val="00BE6DB7"/>
    <w:rsid w:val="00BF0FF3"/>
    <w:rsid w:val="00BF20EC"/>
    <w:rsid w:val="00BF4F78"/>
    <w:rsid w:val="00BF65E5"/>
    <w:rsid w:val="00BF6BAC"/>
    <w:rsid w:val="00BF78EB"/>
    <w:rsid w:val="00C018E3"/>
    <w:rsid w:val="00C03CAB"/>
    <w:rsid w:val="00C045EA"/>
    <w:rsid w:val="00C051A1"/>
    <w:rsid w:val="00C052A0"/>
    <w:rsid w:val="00C058AD"/>
    <w:rsid w:val="00C0697C"/>
    <w:rsid w:val="00C078B0"/>
    <w:rsid w:val="00C10CE1"/>
    <w:rsid w:val="00C11E03"/>
    <w:rsid w:val="00C16A74"/>
    <w:rsid w:val="00C17FEE"/>
    <w:rsid w:val="00C20567"/>
    <w:rsid w:val="00C2125C"/>
    <w:rsid w:val="00C2287E"/>
    <w:rsid w:val="00C231D3"/>
    <w:rsid w:val="00C305C1"/>
    <w:rsid w:val="00C30B5B"/>
    <w:rsid w:val="00C32B78"/>
    <w:rsid w:val="00C32CED"/>
    <w:rsid w:val="00C32D74"/>
    <w:rsid w:val="00C32EA5"/>
    <w:rsid w:val="00C33306"/>
    <w:rsid w:val="00C3481A"/>
    <w:rsid w:val="00C4189B"/>
    <w:rsid w:val="00C458AC"/>
    <w:rsid w:val="00C45E32"/>
    <w:rsid w:val="00C47063"/>
    <w:rsid w:val="00C478B6"/>
    <w:rsid w:val="00C47B1E"/>
    <w:rsid w:val="00C47BD0"/>
    <w:rsid w:val="00C52065"/>
    <w:rsid w:val="00C541ED"/>
    <w:rsid w:val="00C5475D"/>
    <w:rsid w:val="00C55362"/>
    <w:rsid w:val="00C558D5"/>
    <w:rsid w:val="00C57289"/>
    <w:rsid w:val="00C6023B"/>
    <w:rsid w:val="00C61BBD"/>
    <w:rsid w:val="00C647F1"/>
    <w:rsid w:val="00C65CFB"/>
    <w:rsid w:val="00C66A31"/>
    <w:rsid w:val="00C66FAD"/>
    <w:rsid w:val="00C6724B"/>
    <w:rsid w:val="00C675DF"/>
    <w:rsid w:val="00C709C0"/>
    <w:rsid w:val="00C71971"/>
    <w:rsid w:val="00C71ACC"/>
    <w:rsid w:val="00C72E9D"/>
    <w:rsid w:val="00C7349D"/>
    <w:rsid w:val="00C73BA3"/>
    <w:rsid w:val="00C74795"/>
    <w:rsid w:val="00C75AA5"/>
    <w:rsid w:val="00C75F54"/>
    <w:rsid w:val="00C763A9"/>
    <w:rsid w:val="00C76B82"/>
    <w:rsid w:val="00C8233C"/>
    <w:rsid w:val="00C833D6"/>
    <w:rsid w:val="00C836EC"/>
    <w:rsid w:val="00C83E77"/>
    <w:rsid w:val="00C845E0"/>
    <w:rsid w:val="00C86DF5"/>
    <w:rsid w:val="00C90328"/>
    <w:rsid w:val="00C904FE"/>
    <w:rsid w:val="00C90D62"/>
    <w:rsid w:val="00C90EF1"/>
    <w:rsid w:val="00C94FE7"/>
    <w:rsid w:val="00C96FE7"/>
    <w:rsid w:val="00C975F2"/>
    <w:rsid w:val="00C97D22"/>
    <w:rsid w:val="00CA1FD2"/>
    <w:rsid w:val="00CA403D"/>
    <w:rsid w:val="00CA4240"/>
    <w:rsid w:val="00CA4873"/>
    <w:rsid w:val="00CA5BCA"/>
    <w:rsid w:val="00CA6AFC"/>
    <w:rsid w:val="00CA7B12"/>
    <w:rsid w:val="00CA7EF7"/>
    <w:rsid w:val="00CB4809"/>
    <w:rsid w:val="00CB4BAD"/>
    <w:rsid w:val="00CB5BE8"/>
    <w:rsid w:val="00CB644A"/>
    <w:rsid w:val="00CC0A3C"/>
    <w:rsid w:val="00CC14ED"/>
    <w:rsid w:val="00CC192A"/>
    <w:rsid w:val="00CC2447"/>
    <w:rsid w:val="00CC2F9F"/>
    <w:rsid w:val="00CC34C1"/>
    <w:rsid w:val="00CC40B0"/>
    <w:rsid w:val="00CC592D"/>
    <w:rsid w:val="00CC6FAB"/>
    <w:rsid w:val="00CC7378"/>
    <w:rsid w:val="00CC7E9B"/>
    <w:rsid w:val="00CD1D05"/>
    <w:rsid w:val="00CD2E6D"/>
    <w:rsid w:val="00CD4257"/>
    <w:rsid w:val="00CD4C8B"/>
    <w:rsid w:val="00CD7B13"/>
    <w:rsid w:val="00CE0615"/>
    <w:rsid w:val="00CE1055"/>
    <w:rsid w:val="00CE68FC"/>
    <w:rsid w:val="00CF036B"/>
    <w:rsid w:val="00CF1041"/>
    <w:rsid w:val="00CF2E52"/>
    <w:rsid w:val="00CF52CC"/>
    <w:rsid w:val="00CF53A5"/>
    <w:rsid w:val="00CF7F57"/>
    <w:rsid w:val="00D03805"/>
    <w:rsid w:val="00D06D84"/>
    <w:rsid w:val="00D108BB"/>
    <w:rsid w:val="00D125D5"/>
    <w:rsid w:val="00D13163"/>
    <w:rsid w:val="00D1425F"/>
    <w:rsid w:val="00D14ACA"/>
    <w:rsid w:val="00D155A6"/>
    <w:rsid w:val="00D15B8C"/>
    <w:rsid w:val="00D16697"/>
    <w:rsid w:val="00D22FA0"/>
    <w:rsid w:val="00D27772"/>
    <w:rsid w:val="00D277BC"/>
    <w:rsid w:val="00D30350"/>
    <w:rsid w:val="00D3056B"/>
    <w:rsid w:val="00D31B60"/>
    <w:rsid w:val="00D357AA"/>
    <w:rsid w:val="00D43623"/>
    <w:rsid w:val="00D446A6"/>
    <w:rsid w:val="00D44CCD"/>
    <w:rsid w:val="00D453A8"/>
    <w:rsid w:val="00D466E5"/>
    <w:rsid w:val="00D467A6"/>
    <w:rsid w:val="00D46E35"/>
    <w:rsid w:val="00D50806"/>
    <w:rsid w:val="00D550B5"/>
    <w:rsid w:val="00D57B3B"/>
    <w:rsid w:val="00D65076"/>
    <w:rsid w:val="00D7111C"/>
    <w:rsid w:val="00D73A56"/>
    <w:rsid w:val="00D76883"/>
    <w:rsid w:val="00D76AA7"/>
    <w:rsid w:val="00D7759F"/>
    <w:rsid w:val="00D77919"/>
    <w:rsid w:val="00D805ED"/>
    <w:rsid w:val="00D81792"/>
    <w:rsid w:val="00D81FB8"/>
    <w:rsid w:val="00D87251"/>
    <w:rsid w:val="00D91021"/>
    <w:rsid w:val="00D9104C"/>
    <w:rsid w:val="00D91567"/>
    <w:rsid w:val="00D91A41"/>
    <w:rsid w:val="00D9270A"/>
    <w:rsid w:val="00D92FBF"/>
    <w:rsid w:val="00D94ED6"/>
    <w:rsid w:val="00D9606B"/>
    <w:rsid w:val="00DA0651"/>
    <w:rsid w:val="00DA219F"/>
    <w:rsid w:val="00DA3247"/>
    <w:rsid w:val="00DA3869"/>
    <w:rsid w:val="00DA41DB"/>
    <w:rsid w:val="00DA496A"/>
    <w:rsid w:val="00DB52F5"/>
    <w:rsid w:val="00DB5478"/>
    <w:rsid w:val="00DB598E"/>
    <w:rsid w:val="00DB5A6E"/>
    <w:rsid w:val="00DC05A6"/>
    <w:rsid w:val="00DC2E99"/>
    <w:rsid w:val="00DC3DA0"/>
    <w:rsid w:val="00DC47E0"/>
    <w:rsid w:val="00DC4AD5"/>
    <w:rsid w:val="00DC50EB"/>
    <w:rsid w:val="00DC6111"/>
    <w:rsid w:val="00DC7B89"/>
    <w:rsid w:val="00DD1CB0"/>
    <w:rsid w:val="00DD2F3A"/>
    <w:rsid w:val="00DD3004"/>
    <w:rsid w:val="00DD5CBB"/>
    <w:rsid w:val="00DD614F"/>
    <w:rsid w:val="00DD7A58"/>
    <w:rsid w:val="00DE0471"/>
    <w:rsid w:val="00DE0BE5"/>
    <w:rsid w:val="00DE13C3"/>
    <w:rsid w:val="00DE34D7"/>
    <w:rsid w:val="00DE3E04"/>
    <w:rsid w:val="00DE58B7"/>
    <w:rsid w:val="00DE6356"/>
    <w:rsid w:val="00DE6628"/>
    <w:rsid w:val="00DE77B8"/>
    <w:rsid w:val="00DE7FF9"/>
    <w:rsid w:val="00DF0612"/>
    <w:rsid w:val="00DF1084"/>
    <w:rsid w:val="00DF17E6"/>
    <w:rsid w:val="00DF2E7F"/>
    <w:rsid w:val="00DF4A1C"/>
    <w:rsid w:val="00DF5B68"/>
    <w:rsid w:val="00E00C18"/>
    <w:rsid w:val="00E00C1E"/>
    <w:rsid w:val="00E01C22"/>
    <w:rsid w:val="00E01EF0"/>
    <w:rsid w:val="00E02A84"/>
    <w:rsid w:val="00E03217"/>
    <w:rsid w:val="00E0410C"/>
    <w:rsid w:val="00E06A93"/>
    <w:rsid w:val="00E06DFF"/>
    <w:rsid w:val="00E07871"/>
    <w:rsid w:val="00E07DAA"/>
    <w:rsid w:val="00E101B1"/>
    <w:rsid w:val="00E11726"/>
    <w:rsid w:val="00E1173B"/>
    <w:rsid w:val="00E14DD6"/>
    <w:rsid w:val="00E1561D"/>
    <w:rsid w:val="00E159FF"/>
    <w:rsid w:val="00E15C57"/>
    <w:rsid w:val="00E204F0"/>
    <w:rsid w:val="00E21187"/>
    <w:rsid w:val="00E21915"/>
    <w:rsid w:val="00E22C6E"/>
    <w:rsid w:val="00E23876"/>
    <w:rsid w:val="00E2541F"/>
    <w:rsid w:val="00E257D4"/>
    <w:rsid w:val="00E352B8"/>
    <w:rsid w:val="00E35F2D"/>
    <w:rsid w:val="00E407D4"/>
    <w:rsid w:val="00E414B6"/>
    <w:rsid w:val="00E41F27"/>
    <w:rsid w:val="00E44CC5"/>
    <w:rsid w:val="00E44E4C"/>
    <w:rsid w:val="00E46638"/>
    <w:rsid w:val="00E4696F"/>
    <w:rsid w:val="00E4747D"/>
    <w:rsid w:val="00E5292A"/>
    <w:rsid w:val="00E5534B"/>
    <w:rsid w:val="00E55C71"/>
    <w:rsid w:val="00E55E82"/>
    <w:rsid w:val="00E568A8"/>
    <w:rsid w:val="00E56C1C"/>
    <w:rsid w:val="00E5779A"/>
    <w:rsid w:val="00E603EB"/>
    <w:rsid w:val="00E606ED"/>
    <w:rsid w:val="00E60B38"/>
    <w:rsid w:val="00E619A9"/>
    <w:rsid w:val="00E620CD"/>
    <w:rsid w:val="00E62956"/>
    <w:rsid w:val="00E6348A"/>
    <w:rsid w:val="00E63E2D"/>
    <w:rsid w:val="00E6789E"/>
    <w:rsid w:val="00E678E0"/>
    <w:rsid w:val="00E71956"/>
    <w:rsid w:val="00E747DE"/>
    <w:rsid w:val="00E763A6"/>
    <w:rsid w:val="00E80595"/>
    <w:rsid w:val="00E84AE4"/>
    <w:rsid w:val="00E85589"/>
    <w:rsid w:val="00E8577F"/>
    <w:rsid w:val="00E908AC"/>
    <w:rsid w:val="00E908EC"/>
    <w:rsid w:val="00E910F2"/>
    <w:rsid w:val="00E91480"/>
    <w:rsid w:val="00E91DC8"/>
    <w:rsid w:val="00E9221A"/>
    <w:rsid w:val="00E9393D"/>
    <w:rsid w:val="00E9765A"/>
    <w:rsid w:val="00E97743"/>
    <w:rsid w:val="00EA1A87"/>
    <w:rsid w:val="00EA1AE2"/>
    <w:rsid w:val="00EA385D"/>
    <w:rsid w:val="00EA3C47"/>
    <w:rsid w:val="00EA3D82"/>
    <w:rsid w:val="00EA5B9D"/>
    <w:rsid w:val="00EA6DF5"/>
    <w:rsid w:val="00EA7B18"/>
    <w:rsid w:val="00EB1B2B"/>
    <w:rsid w:val="00EB2E42"/>
    <w:rsid w:val="00EB3B1E"/>
    <w:rsid w:val="00EB5237"/>
    <w:rsid w:val="00EC2A10"/>
    <w:rsid w:val="00EC3F82"/>
    <w:rsid w:val="00EC5936"/>
    <w:rsid w:val="00EC6639"/>
    <w:rsid w:val="00EC71E9"/>
    <w:rsid w:val="00EC752D"/>
    <w:rsid w:val="00ED0EFE"/>
    <w:rsid w:val="00ED2544"/>
    <w:rsid w:val="00ED2C43"/>
    <w:rsid w:val="00ED5659"/>
    <w:rsid w:val="00ED5683"/>
    <w:rsid w:val="00ED57FC"/>
    <w:rsid w:val="00ED652C"/>
    <w:rsid w:val="00EE0017"/>
    <w:rsid w:val="00EE08E0"/>
    <w:rsid w:val="00EE1E37"/>
    <w:rsid w:val="00EE2A5D"/>
    <w:rsid w:val="00EE4C9C"/>
    <w:rsid w:val="00EE53AC"/>
    <w:rsid w:val="00EE6166"/>
    <w:rsid w:val="00EE694B"/>
    <w:rsid w:val="00EE694D"/>
    <w:rsid w:val="00EF1227"/>
    <w:rsid w:val="00EF1324"/>
    <w:rsid w:val="00EF5FA3"/>
    <w:rsid w:val="00EF6060"/>
    <w:rsid w:val="00EF6928"/>
    <w:rsid w:val="00EF71CE"/>
    <w:rsid w:val="00EF7CF7"/>
    <w:rsid w:val="00F00912"/>
    <w:rsid w:val="00F016A8"/>
    <w:rsid w:val="00F023E6"/>
    <w:rsid w:val="00F023E8"/>
    <w:rsid w:val="00F027D5"/>
    <w:rsid w:val="00F02997"/>
    <w:rsid w:val="00F0496F"/>
    <w:rsid w:val="00F06A64"/>
    <w:rsid w:val="00F0760C"/>
    <w:rsid w:val="00F10299"/>
    <w:rsid w:val="00F105FB"/>
    <w:rsid w:val="00F10E51"/>
    <w:rsid w:val="00F112A3"/>
    <w:rsid w:val="00F13A1D"/>
    <w:rsid w:val="00F16A25"/>
    <w:rsid w:val="00F1705B"/>
    <w:rsid w:val="00F17E03"/>
    <w:rsid w:val="00F20D1C"/>
    <w:rsid w:val="00F20F70"/>
    <w:rsid w:val="00F232F4"/>
    <w:rsid w:val="00F23509"/>
    <w:rsid w:val="00F2396D"/>
    <w:rsid w:val="00F248A1"/>
    <w:rsid w:val="00F26F62"/>
    <w:rsid w:val="00F30CE5"/>
    <w:rsid w:val="00F32030"/>
    <w:rsid w:val="00F35054"/>
    <w:rsid w:val="00F3513E"/>
    <w:rsid w:val="00F371A4"/>
    <w:rsid w:val="00F4176C"/>
    <w:rsid w:val="00F423F6"/>
    <w:rsid w:val="00F431B8"/>
    <w:rsid w:val="00F43A51"/>
    <w:rsid w:val="00F4475D"/>
    <w:rsid w:val="00F46306"/>
    <w:rsid w:val="00F47FB7"/>
    <w:rsid w:val="00F50732"/>
    <w:rsid w:val="00F52A3F"/>
    <w:rsid w:val="00F535B2"/>
    <w:rsid w:val="00F536FF"/>
    <w:rsid w:val="00F53A7A"/>
    <w:rsid w:val="00F54638"/>
    <w:rsid w:val="00F6079B"/>
    <w:rsid w:val="00F608E5"/>
    <w:rsid w:val="00F60B27"/>
    <w:rsid w:val="00F61942"/>
    <w:rsid w:val="00F6319C"/>
    <w:rsid w:val="00F63AAE"/>
    <w:rsid w:val="00F65722"/>
    <w:rsid w:val="00F66FB1"/>
    <w:rsid w:val="00F71152"/>
    <w:rsid w:val="00F74C58"/>
    <w:rsid w:val="00F750A3"/>
    <w:rsid w:val="00F757F0"/>
    <w:rsid w:val="00F76937"/>
    <w:rsid w:val="00F805AA"/>
    <w:rsid w:val="00F805CD"/>
    <w:rsid w:val="00F80F0B"/>
    <w:rsid w:val="00F83028"/>
    <w:rsid w:val="00F84693"/>
    <w:rsid w:val="00F864B1"/>
    <w:rsid w:val="00F86E2E"/>
    <w:rsid w:val="00F916BD"/>
    <w:rsid w:val="00F91A11"/>
    <w:rsid w:val="00F930E9"/>
    <w:rsid w:val="00FA2BC7"/>
    <w:rsid w:val="00FA3387"/>
    <w:rsid w:val="00FA4FB4"/>
    <w:rsid w:val="00FB1693"/>
    <w:rsid w:val="00FB1ECA"/>
    <w:rsid w:val="00FB1F41"/>
    <w:rsid w:val="00FB2F4B"/>
    <w:rsid w:val="00FB41EE"/>
    <w:rsid w:val="00FB4685"/>
    <w:rsid w:val="00FB4B6A"/>
    <w:rsid w:val="00FB6C5B"/>
    <w:rsid w:val="00FC040F"/>
    <w:rsid w:val="00FC083B"/>
    <w:rsid w:val="00FC0CB0"/>
    <w:rsid w:val="00FC40E7"/>
    <w:rsid w:val="00FC4314"/>
    <w:rsid w:val="00FC6440"/>
    <w:rsid w:val="00FC65A6"/>
    <w:rsid w:val="00FC79D8"/>
    <w:rsid w:val="00FD03BF"/>
    <w:rsid w:val="00FD0A59"/>
    <w:rsid w:val="00FD45F5"/>
    <w:rsid w:val="00FD71DF"/>
    <w:rsid w:val="00FD7775"/>
    <w:rsid w:val="00FD7903"/>
    <w:rsid w:val="00FE002C"/>
    <w:rsid w:val="00FE2409"/>
    <w:rsid w:val="00FE5553"/>
    <w:rsid w:val="00FE79C9"/>
    <w:rsid w:val="00FE79D7"/>
    <w:rsid w:val="00FF1EE4"/>
    <w:rsid w:val="00FF5A1A"/>
    <w:rsid w:val="00FF5EE3"/>
    <w:rsid w:val="00FF60B1"/>
    <w:rsid w:val="00FF639A"/>
    <w:rsid w:val="00FF6496"/>
    <w:rsid w:val="00FF7381"/>
    <w:rsid w:val="00FF7859"/>
    <w:rsid w:val="00FF7D1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6385">
      <v:textbox inset="5.85pt,.7pt,5.85pt,.7pt"/>
    </o:shapedefaults>
    <o:shapelayout v:ext="edit">
      <o:idmap v:ext="edit" data="1"/>
    </o:shapelayout>
  </w:shapeDefaults>
  <w:decimalSymbol w:val="."/>
  <w:listSeparator w:val=","/>
  <w14:docId w14:val="0950939E"/>
  <w15:docId w15:val="{C0B81870-A0FF-4C90-9041-3DF643F9B0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jc w:val="both"/>
    </w:pPr>
    <w:rPr>
      <w:rFonts w:ascii="Times New Roman" w:eastAsia="MS Mincho" w:hAnsi="Times New Roman" w:cs="Times New Roman"/>
      <w:szCs w:val="24"/>
    </w:rPr>
  </w:style>
  <w:style w:type="paragraph" w:styleId="Heading1">
    <w:name w:val="heading 1"/>
    <w:basedOn w:val="Normal"/>
    <w:next w:val="Normal"/>
    <w:link w:val="Heading1Char"/>
    <w:qFormat/>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pPr>
      <w:keepNext/>
      <w:spacing w:before="240" w:after="60"/>
      <w:outlineLvl w:val="2"/>
    </w:pPr>
    <w:rPr>
      <w:rFonts w:ascii="Calibri" w:hAnsi="Calibri"/>
      <w:b/>
      <w:bCs/>
      <w:sz w:val="26"/>
      <w:szCs w:val="26"/>
    </w:rPr>
  </w:style>
  <w:style w:type="paragraph" w:styleId="Heading9">
    <w:name w:val="heading 9"/>
    <w:basedOn w:val="Normal"/>
    <w:next w:val="Normal"/>
    <w:link w:val="Heading9Char"/>
    <w:uiPriority w:val="9"/>
    <w:semiHidden/>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IPPParagraphnumberedlist">
    <w:name w:val="IPP Paragraph numbered list"/>
    <w:pPr>
      <w:numPr>
        <w:numId w:val="1"/>
      </w:numPr>
    </w:pPr>
  </w:style>
  <w:style w:type="paragraph" w:customStyle="1" w:styleId="IPPParagraphnumbering">
    <w:name w:val="IPP Paragraph numbering"/>
    <w:basedOn w:val="IPPNormal"/>
    <w:qFormat/>
    <w:pPr>
      <w:numPr>
        <w:numId w:val="2"/>
      </w:numPr>
    </w:pPr>
    <w:rPr>
      <w:lang w:val="en-US"/>
    </w:rPr>
  </w:style>
  <w:style w:type="paragraph" w:styleId="NormalWeb">
    <w:name w:val="Normal (Web)"/>
    <w:basedOn w:val="Normal"/>
    <w:uiPriority w:val="99"/>
    <w:unhideWhenUsed/>
    <w:pPr>
      <w:spacing w:before="100" w:beforeAutospacing="1" w:after="100" w:afterAutospacing="1"/>
    </w:pPr>
    <w:rPr>
      <w:rFonts w:ascii="MS PGothic" w:eastAsia="MS PGothic" w:hAnsi="MS PGothic" w:cs="MS PGothic"/>
      <w:sz w:val="24"/>
    </w:rPr>
  </w:style>
  <w:style w:type="paragraph" w:customStyle="1" w:styleId="ListParagraphdash">
    <w:name w:val="List Paragraph dash"/>
    <w:basedOn w:val="ListParagraph"/>
    <w:uiPriority w:val="99"/>
    <w:pPr>
      <w:numPr>
        <w:numId w:val="3"/>
      </w:numPr>
      <w:tabs>
        <w:tab w:val="num" w:pos="360"/>
      </w:tabs>
      <w:ind w:left="400" w:firstLine="0"/>
    </w:pPr>
    <w:rPr>
      <w:rFonts w:cs="Verdana"/>
      <w:szCs w:val="20"/>
    </w:rPr>
  </w:style>
  <w:style w:type="paragraph" w:customStyle="1" w:styleId="IPPArialTable">
    <w:name w:val="IPP Arial Table"/>
    <w:basedOn w:val="IPPArial"/>
    <w:qFormat/>
    <w:pPr>
      <w:spacing w:before="60" w:after="60"/>
      <w:jc w:val="left"/>
    </w:pPr>
  </w:style>
  <w:style w:type="paragraph" w:styleId="ListParagraph">
    <w:name w:val="List Paragraph"/>
    <w:basedOn w:val="Normal"/>
    <w:uiPriority w:val="34"/>
    <w:qFormat/>
    <w:pPr>
      <w:spacing w:line="240" w:lineRule="atLeast"/>
      <w:ind w:leftChars="400" w:left="800"/>
    </w:pPr>
    <w:rPr>
      <w:rFonts w:ascii="Verdana" w:eastAsia="Times New Roman" w:hAnsi="Verdana"/>
      <w:sz w:val="20"/>
      <w:lang w:val="nl-NL" w:eastAsia="nl-NL"/>
    </w:rPr>
  </w:style>
  <w:style w:type="paragraph" w:customStyle="1" w:styleId="Default">
    <w:name w:val="Default"/>
    <w:pPr>
      <w:autoSpaceDE w:val="0"/>
      <w:autoSpaceDN w:val="0"/>
      <w:adjustRightInd w:val="0"/>
      <w:spacing w:after="0" w:line="240" w:lineRule="auto"/>
    </w:pPr>
    <w:rPr>
      <w:rFonts w:ascii="Times New Roman" w:hAnsi="Times New Roman" w:cs="Times New Roman"/>
      <w:color w:val="000000"/>
      <w:sz w:val="24"/>
      <w:szCs w:val="24"/>
      <w:lang w:val="en-US" w:eastAsia="ja-JP"/>
    </w:rPr>
  </w:style>
  <w:style w:type="character" w:styleId="Hyperlink">
    <w:name w:val="Hyperlink"/>
    <w:basedOn w:val="DefaultParagraphFont"/>
    <w:rPr>
      <w:color w:val="0000FF"/>
      <w:u w:val="single"/>
    </w:rPr>
  </w:style>
  <w:style w:type="paragraph" w:styleId="Header">
    <w:name w:val="header"/>
    <w:basedOn w:val="Normal"/>
    <w:link w:val="HeaderChar"/>
    <w:pPr>
      <w:tabs>
        <w:tab w:val="center" w:pos="4680"/>
        <w:tab w:val="right" w:pos="9360"/>
      </w:tabs>
    </w:pPr>
  </w:style>
  <w:style w:type="character" w:customStyle="1" w:styleId="HeaderChar">
    <w:name w:val="Header Char"/>
    <w:basedOn w:val="DefaultParagraphFont"/>
    <w:link w:val="Header"/>
    <w:rPr>
      <w:rFonts w:ascii="Times New Roman" w:eastAsia="MS Mincho" w:hAnsi="Times New Roman" w:cs="Times New Roman"/>
      <w:szCs w:val="24"/>
    </w:rPr>
  </w:style>
  <w:style w:type="paragraph" w:styleId="Footer">
    <w:name w:val="footer"/>
    <w:basedOn w:val="Normal"/>
    <w:link w:val="FooterChar"/>
    <w:pPr>
      <w:tabs>
        <w:tab w:val="center" w:pos="4680"/>
        <w:tab w:val="right" w:pos="9360"/>
      </w:tabs>
    </w:pPr>
  </w:style>
  <w:style w:type="character" w:customStyle="1" w:styleId="FooterChar">
    <w:name w:val="Footer Char"/>
    <w:basedOn w:val="DefaultParagraphFont"/>
    <w:link w:val="Footer"/>
    <w:rPr>
      <w:rFonts w:ascii="Times New Roman" w:eastAsia="MS Mincho" w:hAnsi="Times New Roman" w:cs="Times New Roman"/>
      <w:szCs w:val="24"/>
    </w:rPr>
  </w:style>
  <w:style w:type="paragraph" w:customStyle="1" w:styleId="IPPHeader">
    <w:name w:val="IPP Header"/>
    <w:basedOn w:val="Normal"/>
    <w:qFormat/>
    <w:pPr>
      <w:pBdr>
        <w:bottom w:val="single" w:sz="4" w:space="4" w:color="auto"/>
      </w:pBdr>
      <w:tabs>
        <w:tab w:val="left" w:pos="1134"/>
        <w:tab w:val="right" w:pos="9072"/>
      </w:tabs>
      <w:spacing w:after="120"/>
      <w:jc w:val="left"/>
    </w:pPr>
    <w:rPr>
      <w:rFonts w:ascii="Arial" w:hAnsi="Arial"/>
      <w:sz w:val="18"/>
      <w:lang w:val="en-US"/>
    </w:rPr>
  </w:style>
  <w:style w:type="character" w:styleId="Strong">
    <w:name w:val="Strong"/>
    <w:basedOn w:val="DefaultParagraphFont"/>
    <w:qFormat/>
    <w:rPr>
      <w:b/>
      <w:bCs/>
    </w:rPr>
  </w:style>
  <w:style w:type="character" w:customStyle="1" w:styleId="Heading1Char">
    <w:name w:val="Heading 1 Char"/>
    <w:basedOn w:val="DefaultParagraphFont"/>
    <w:link w:val="Heading1"/>
    <w:rPr>
      <w:rFonts w:ascii="Times New Roman" w:eastAsia="MS Mincho" w:hAnsi="Times New Roman" w:cs="Times New Roman"/>
      <w:b/>
      <w:bCs/>
      <w:szCs w:val="24"/>
    </w:rPr>
  </w:style>
  <w:style w:type="character" w:customStyle="1" w:styleId="Heading2Char">
    <w:name w:val="Heading 2 Char"/>
    <w:basedOn w:val="DefaultParagraphFont"/>
    <w:link w:val="Heading2"/>
    <w:rPr>
      <w:rFonts w:ascii="Calibri" w:eastAsia="MS Mincho" w:hAnsi="Calibri" w:cs="Times New Roman"/>
      <w:b/>
      <w:bCs/>
      <w:i/>
      <w:iCs/>
      <w:sz w:val="28"/>
      <w:szCs w:val="28"/>
    </w:rPr>
  </w:style>
  <w:style w:type="character" w:customStyle="1" w:styleId="Heading3Char">
    <w:name w:val="Heading 3 Char"/>
    <w:basedOn w:val="DefaultParagraphFont"/>
    <w:link w:val="Heading3"/>
    <w:rPr>
      <w:rFonts w:ascii="Calibri" w:eastAsia="MS Mincho" w:hAnsi="Calibri" w:cs="Times New Roman"/>
      <w:b/>
      <w:bCs/>
      <w:sz w:val="26"/>
      <w:szCs w:val="26"/>
    </w:rPr>
  </w:style>
  <w:style w:type="paragraph" w:styleId="FootnoteText">
    <w:name w:val="footnote text"/>
    <w:basedOn w:val="Normal"/>
    <w:link w:val="FootnoteTextChar"/>
    <w:semiHidden/>
    <w:pPr>
      <w:spacing w:before="60"/>
    </w:pPr>
    <w:rPr>
      <w:sz w:val="20"/>
    </w:rPr>
  </w:style>
  <w:style w:type="character" w:customStyle="1" w:styleId="FootnoteTextChar">
    <w:name w:val="Footnote Text Char"/>
    <w:basedOn w:val="DefaultParagraphFont"/>
    <w:link w:val="FootnoteText"/>
    <w:semiHidden/>
    <w:rPr>
      <w:rFonts w:ascii="Times New Roman" w:eastAsia="MS Mincho" w:hAnsi="Times New Roman" w:cs="Times New Roman"/>
      <w:sz w:val="20"/>
      <w:szCs w:val="24"/>
    </w:rPr>
  </w:style>
  <w:style w:type="character" w:styleId="FootnoteReference">
    <w:name w:val="footnote reference"/>
    <w:basedOn w:val="DefaultParagraphFont"/>
    <w:semiHidden/>
    <w:rPr>
      <w:vertAlign w:val="superscript"/>
    </w:rPr>
  </w:style>
  <w:style w:type="paragraph" w:customStyle="1" w:styleId="Style">
    <w:name w:val="Style"/>
    <w:basedOn w:val="Footer"/>
    <w:autoRedefine/>
    <w:qFormat/>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Pr>
      <w:rFonts w:ascii="Arial" w:hAnsi="Arial"/>
      <w:b/>
      <w:sz w:val="18"/>
    </w:rPr>
  </w:style>
  <w:style w:type="paragraph" w:customStyle="1" w:styleId="IPPArialFootnote">
    <w:name w:val="IPP Arial Footnote"/>
    <w:basedOn w:val="IPPArialTable"/>
    <w:qFormat/>
    <w:pPr>
      <w:tabs>
        <w:tab w:val="left" w:pos="28"/>
      </w:tabs>
      <w:ind w:left="284" w:hanging="284"/>
    </w:pPr>
    <w:rPr>
      <w:sz w:val="16"/>
    </w:rPr>
  </w:style>
  <w:style w:type="paragraph" w:customStyle="1" w:styleId="IPPContentsHead">
    <w:name w:val="IPP ContentsHead"/>
    <w:basedOn w:val="IPPSubhead"/>
    <w:next w:val="IPPNormal"/>
    <w:qFormat/>
    <w:pPr>
      <w:spacing w:after="240"/>
    </w:pPr>
    <w:rPr>
      <w:sz w:val="24"/>
    </w:rPr>
  </w:style>
  <w:style w:type="table" w:styleId="TableGrid">
    <w:name w:val="Table Grid"/>
    <w:basedOn w:val="TableNormal"/>
    <w:pPr>
      <w:spacing w:after="0" w:line="240" w:lineRule="auto"/>
    </w:pPr>
    <w:rPr>
      <w:rFonts w:ascii="Cambria" w:eastAsia="MS Mincho" w:hAnsi="Cambria"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basedOn w:val="DefaultParagraphFont"/>
    <w:link w:val="BalloonText"/>
    <w:rPr>
      <w:rFonts w:ascii="Tahoma" w:eastAsia="MS Mincho" w:hAnsi="Tahoma" w:cs="Tahoma"/>
      <w:sz w:val="16"/>
      <w:szCs w:val="16"/>
    </w:rPr>
  </w:style>
  <w:style w:type="paragraph" w:customStyle="1" w:styleId="IPPBullet2">
    <w:name w:val="IPP Bullet2"/>
    <w:basedOn w:val="IPPNormal"/>
    <w:next w:val="IPPBullet1"/>
    <w:qFormat/>
    <w:pPr>
      <w:numPr>
        <w:numId w:val="10"/>
      </w:numPr>
      <w:tabs>
        <w:tab w:val="left" w:pos="1134"/>
      </w:tabs>
      <w:spacing w:after="60"/>
      <w:ind w:left="1134" w:hanging="567"/>
    </w:pPr>
  </w:style>
  <w:style w:type="paragraph" w:customStyle="1" w:styleId="IPPQuote">
    <w:name w:val="IPP Quote"/>
    <w:basedOn w:val="IPPNormal"/>
    <w:qFormat/>
    <w:pPr>
      <w:ind w:left="851" w:right="851"/>
    </w:pPr>
    <w:rPr>
      <w:sz w:val="18"/>
    </w:rPr>
  </w:style>
  <w:style w:type="paragraph" w:customStyle="1" w:styleId="IPPNormal">
    <w:name w:val="IPP Normal"/>
    <w:basedOn w:val="Normal"/>
    <w:qFormat/>
    <w:pPr>
      <w:spacing w:after="180"/>
    </w:pPr>
    <w:rPr>
      <w:rFonts w:eastAsia="Times"/>
    </w:rPr>
  </w:style>
  <w:style w:type="paragraph" w:customStyle="1" w:styleId="IPPIndentClose">
    <w:name w:val="IPP Indent Close"/>
    <w:basedOn w:val="IPPNormal"/>
    <w:qFormat/>
    <w:pPr>
      <w:tabs>
        <w:tab w:val="left" w:pos="2835"/>
      </w:tabs>
      <w:spacing w:after="60"/>
      <w:ind w:left="567"/>
    </w:pPr>
  </w:style>
  <w:style w:type="paragraph" w:customStyle="1" w:styleId="IPPIndent">
    <w:name w:val="IPP Indent"/>
    <w:basedOn w:val="IPPIndentClose"/>
    <w:qFormat/>
    <w:pPr>
      <w:spacing w:after="180"/>
    </w:pPr>
  </w:style>
  <w:style w:type="paragraph" w:customStyle="1" w:styleId="IPPFootnote">
    <w:name w:val="IPP Footnote"/>
    <w:basedOn w:val="IPPArialFootnote"/>
    <w:qFormat/>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pPr>
      <w:keepNext/>
      <w:tabs>
        <w:tab w:val="left" w:pos="567"/>
      </w:tabs>
      <w:spacing w:before="120" w:after="120"/>
      <w:ind w:left="567" w:hanging="567"/>
    </w:pPr>
    <w:rPr>
      <w:b/>
      <w:i/>
    </w:rPr>
  </w:style>
  <w:style w:type="character" w:customStyle="1" w:styleId="IPPnormalitalics">
    <w:name w:val="IPP normal italics"/>
    <w:basedOn w:val="DefaultParagraphFont"/>
    <w:rPr>
      <w:rFonts w:ascii="Times New Roman" w:hAnsi="Times New Roman"/>
      <w:i/>
      <w:sz w:val="22"/>
      <w:lang w:val="en-US"/>
    </w:rPr>
  </w:style>
  <w:style w:type="character" w:customStyle="1" w:styleId="IPPNormalbold">
    <w:name w:val="IPP Normal bold"/>
    <w:basedOn w:val="PlainTextChar"/>
    <w:rPr>
      <w:rFonts w:ascii="Times New Roman" w:eastAsia="Times" w:hAnsi="Times New Roman" w:cs="Times New Roman"/>
      <w:b/>
      <w:sz w:val="22"/>
      <w:szCs w:val="21"/>
      <w:lang w:val="en-AU"/>
    </w:rPr>
  </w:style>
  <w:style w:type="paragraph" w:customStyle="1" w:styleId="IPPHeadSection">
    <w:name w:val="IPP HeadSection"/>
    <w:basedOn w:val="Normal"/>
    <w:next w:val="Normal"/>
    <w:qFormat/>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pPr>
      <w:keepNext/>
      <w:ind w:left="567" w:hanging="567"/>
      <w:jc w:val="left"/>
    </w:pPr>
    <w:rPr>
      <w:b/>
      <w:bCs/>
      <w:iCs/>
      <w:szCs w:val="22"/>
    </w:rPr>
  </w:style>
  <w:style w:type="character" w:customStyle="1" w:styleId="IPPNormalunderlined">
    <w:name w:val="IPP Normal underlined"/>
    <w:basedOn w:val="DefaultParagraphFont"/>
    <w:rPr>
      <w:rFonts w:ascii="Times New Roman" w:hAnsi="Times New Roman"/>
      <w:sz w:val="22"/>
      <w:u w:val="single"/>
      <w:lang w:val="en-US"/>
    </w:rPr>
  </w:style>
  <w:style w:type="paragraph" w:customStyle="1" w:styleId="IPPBullet1">
    <w:name w:val="IPP Bullet1"/>
    <w:basedOn w:val="IPPBullet1Last"/>
    <w:qFormat/>
    <w:pPr>
      <w:numPr>
        <w:numId w:val="17"/>
      </w:numPr>
      <w:spacing w:after="60"/>
      <w:ind w:left="567" w:hanging="567"/>
    </w:pPr>
    <w:rPr>
      <w:lang w:val="en-US"/>
    </w:rPr>
  </w:style>
  <w:style w:type="paragraph" w:customStyle="1" w:styleId="IPPBullet1Last">
    <w:name w:val="IPP Bullet1Last"/>
    <w:basedOn w:val="IPPNormal"/>
    <w:next w:val="IPPNormal"/>
    <w:autoRedefine/>
    <w:qFormat/>
    <w:pPr>
      <w:numPr>
        <w:numId w:val="11"/>
      </w:numPr>
    </w:pPr>
  </w:style>
  <w:style w:type="character" w:customStyle="1" w:styleId="IPPNormalstrikethrough">
    <w:name w:val="IPP Normal strikethrough"/>
    <w:rPr>
      <w:rFonts w:ascii="Times New Roman" w:hAnsi="Times New Roman"/>
      <w:strike/>
      <w:dstrike w:val="0"/>
      <w:sz w:val="22"/>
    </w:rPr>
  </w:style>
  <w:style w:type="paragraph" w:customStyle="1" w:styleId="IPPTitle16pt">
    <w:name w:val="IPP Title16pt"/>
    <w:basedOn w:val="Normal"/>
    <w:qFormat/>
    <w:pPr>
      <w:spacing w:after="720"/>
      <w:ind w:left="1701" w:right="1701"/>
      <w:jc w:val="center"/>
    </w:pPr>
    <w:rPr>
      <w:rFonts w:ascii="Arial" w:hAnsi="Arial" w:cs="Arial"/>
      <w:b/>
      <w:bCs/>
      <w:sz w:val="32"/>
      <w:szCs w:val="32"/>
    </w:rPr>
  </w:style>
  <w:style w:type="paragraph" w:customStyle="1" w:styleId="IPPTitle18pt">
    <w:name w:val="IPP Title18pt"/>
    <w:basedOn w:val="Normal"/>
    <w:qFormat/>
    <w:pPr>
      <w:spacing w:after="360"/>
      <w:jc w:val="center"/>
    </w:pPr>
    <w:rPr>
      <w:rFonts w:ascii="Arial" w:hAnsi="Arial" w:cs="Arial"/>
      <w:b/>
      <w:bCs/>
      <w:sz w:val="36"/>
      <w:szCs w:val="36"/>
    </w:rPr>
  </w:style>
  <w:style w:type="paragraph" w:customStyle="1" w:styleId="IPPAnnexHead">
    <w:name w:val="IPP AnnexHead"/>
    <w:basedOn w:val="IPPNormal"/>
    <w:next w:val="IPPNormal"/>
    <w:qFormat/>
    <w:pPr>
      <w:keepNext/>
      <w:tabs>
        <w:tab w:val="left" w:pos="567"/>
      </w:tabs>
      <w:spacing w:before="120"/>
      <w:jc w:val="left"/>
      <w:outlineLvl w:val="1"/>
    </w:pPr>
    <w:rPr>
      <w:b/>
      <w:sz w:val="24"/>
    </w:rPr>
  </w:style>
  <w:style w:type="paragraph" w:customStyle="1" w:styleId="IPPNormalCloseSpace">
    <w:name w:val="IPP NormalCloseSpace"/>
    <w:basedOn w:val="Normal"/>
    <w:qFormat/>
    <w:pPr>
      <w:keepNext/>
      <w:spacing w:after="60"/>
    </w:pPr>
  </w:style>
  <w:style w:type="paragraph" w:customStyle="1" w:styleId="IPPHeading2">
    <w:name w:val="IPP Heading2"/>
    <w:basedOn w:val="IPPNormal"/>
    <w:next w:val="IPPNormal"/>
    <w:qFormat/>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pPr>
      <w:tabs>
        <w:tab w:val="right" w:leader="dot" w:pos="9072"/>
      </w:tabs>
      <w:spacing w:before="240"/>
      <w:ind w:left="567" w:hanging="567"/>
    </w:pPr>
  </w:style>
  <w:style w:type="paragraph" w:styleId="TOC2">
    <w:name w:val="toc 2"/>
    <w:basedOn w:val="TOC1"/>
    <w:next w:val="Normal"/>
    <w:autoRedefine/>
    <w:uiPriority w:val="39"/>
    <w:pPr>
      <w:keepNext w:val="0"/>
      <w:tabs>
        <w:tab w:val="left" w:pos="425"/>
      </w:tabs>
      <w:spacing w:before="120" w:after="0"/>
      <w:ind w:left="425" w:right="284" w:hanging="425"/>
    </w:pPr>
  </w:style>
  <w:style w:type="paragraph" w:styleId="TOC3">
    <w:name w:val="toc 3"/>
    <w:basedOn w:val="TOC2"/>
    <w:next w:val="Normal"/>
    <w:autoRedefine/>
    <w:uiPriority w:val="39"/>
    <w:pPr>
      <w:tabs>
        <w:tab w:val="left" w:pos="1276"/>
      </w:tabs>
      <w:spacing w:before="60"/>
      <w:ind w:left="1276" w:hanging="851"/>
    </w:pPr>
    <w:rPr>
      <w:rFonts w:eastAsia="Times"/>
    </w:rPr>
  </w:style>
  <w:style w:type="paragraph" w:styleId="TOC4">
    <w:name w:val="toc 4"/>
    <w:basedOn w:val="Normal"/>
    <w:next w:val="Normal"/>
    <w:autoRedefine/>
    <w:uiPriority w:val="39"/>
    <w:pPr>
      <w:spacing w:after="120"/>
      <w:ind w:left="660"/>
    </w:pPr>
    <w:rPr>
      <w:rFonts w:eastAsia="Times"/>
      <w:lang w:val="en-AU"/>
    </w:rPr>
  </w:style>
  <w:style w:type="paragraph" w:styleId="TOC5">
    <w:name w:val="toc 5"/>
    <w:basedOn w:val="Normal"/>
    <w:next w:val="Normal"/>
    <w:autoRedefine/>
    <w:uiPriority w:val="39"/>
    <w:pPr>
      <w:spacing w:after="120"/>
      <w:ind w:left="880"/>
    </w:pPr>
    <w:rPr>
      <w:rFonts w:eastAsia="Times"/>
      <w:lang w:val="en-AU"/>
    </w:rPr>
  </w:style>
  <w:style w:type="paragraph" w:styleId="TOC6">
    <w:name w:val="toc 6"/>
    <w:basedOn w:val="Normal"/>
    <w:next w:val="Normal"/>
    <w:autoRedefine/>
    <w:uiPriority w:val="39"/>
    <w:pPr>
      <w:spacing w:after="120"/>
      <w:ind w:left="1100"/>
    </w:pPr>
    <w:rPr>
      <w:rFonts w:eastAsia="Times"/>
      <w:lang w:val="en-AU"/>
    </w:rPr>
  </w:style>
  <w:style w:type="paragraph" w:styleId="TOC7">
    <w:name w:val="toc 7"/>
    <w:basedOn w:val="Normal"/>
    <w:next w:val="Normal"/>
    <w:autoRedefine/>
    <w:uiPriority w:val="39"/>
    <w:pPr>
      <w:spacing w:after="120"/>
      <w:ind w:left="1320"/>
    </w:pPr>
    <w:rPr>
      <w:rFonts w:eastAsia="Times"/>
      <w:lang w:val="en-AU"/>
    </w:rPr>
  </w:style>
  <w:style w:type="paragraph" w:styleId="TOC8">
    <w:name w:val="toc 8"/>
    <w:basedOn w:val="Normal"/>
    <w:next w:val="Normal"/>
    <w:autoRedefine/>
    <w:uiPriority w:val="39"/>
    <w:pPr>
      <w:spacing w:after="120"/>
      <w:ind w:left="1540"/>
    </w:pPr>
    <w:rPr>
      <w:rFonts w:eastAsia="Times"/>
      <w:lang w:val="en-AU"/>
    </w:rPr>
  </w:style>
  <w:style w:type="paragraph" w:styleId="TOC9">
    <w:name w:val="toc 9"/>
    <w:basedOn w:val="Normal"/>
    <w:next w:val="Normal"/>
    <w:autoRedefine/>
    <w:uiPriority w:val="39"/>
    <w:pPr>
      <w:spacing w:after="120"/>
      <w:ind w:left="1760"/>
    </w:pPr>
    <w:rPr>
      <w:rFonts w:eastAsia="Times"/>
      <w:lang w:val="en-AU"/>
    </w:rPr>
  </w:style>
  <w:style w:type="paragraph" w:customStyle="1" w:styleId="IPPReferences">
    <w:name w:val="IPP References"/>
    <w:basedOn w:val="IPPNormal"/>
    <w:qFormat/>
    <w:pPr>
      <w:spacing w:after="60"/>
      <w:ind w:left="567" w:hanging="567"/>
    </w:pPr>
  </w:style>
  <w:style w:type="paragraph" w:customStyle="1" w:styleId="IPPArial">
    <w:name w:val="IPP Arial"/>
    <w:basedOn w:val="IPPNormal"/>
    <w:qFormat/>
    <w:pPr>
      <w:spacing w:after="0"/>
    </w:pPr>
    <w:rPr>
      <w:rFonts w:ascii="Arial" w:hAnsi="Arial"/>
      <w:sz w:val="18"/>
    </w:rPr>
  </w:style>
  <w:style w:type="paragraph" w:customStyle="1" w:styleId="IPPHeaderlandscape">
    <w:name w:val="IPP Header landscape"/>
    <w:basedOn w:val="IPPHeader"/>
    <w:qFormat/>
    <w:pPr>
      <w:pBdr>
        <w:bottom w:val="single" w:sz="4" w:space="1" w:color="auto"/>
      </w:pBdr>
      <w:tabs>
        <w:tab w:val="clear" w:pos="9072"/>
        <w:tab w:val="right" w:pos="14034"/>
      </w:tabs>
      <w:spacing w:after="0"/>
      <w:ind w:right="-32"/>
    </w:pPr>
  </w:style>
  <w:style w:type="paragraph" w:styleId="PlainText">
    <w:name w:val="Plain Text"/>
    <w:basedOn w:val="Normal"/>
    <w:link w:val="PlainTextChar"/>
    <w:uiPriority w:val="99"/>
    <w:unhideWhenUsed/>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Pr>
      <w:rFonts w:ascii="Courier" w:eastAsia="Times" w:hAnsi="Courier" w:cs="Times New Roman"/>
      <w:sz w:val="21"/>
      <w:szCs w:val="21"/>
      <w:lang w:val="en-AU"/>
    </w:rPr>
  </w:style>
  <w:style w:type="paragraph" w:customStyle="1" w:styleId="IPPLetterList">
    <w:name w:val="IPP LetterList"/>
    <w:basedOn w:val="IPPBullet2"/>
    <w:qFormat/>
    <w:pPr>
      <w:numPr>
        <w:numId w:val="7"/>
      </w:numPr>
      <w:jc w:val="left"/>
    </w:pPr>
  </w:style>
  <w:style w:type="paragraph" w:customStyle="1" w:styleId="IPPLetterListIndent">
    <w:name w:val="IPP LetterList Indent"/>
    <w:basedOn w:val="IPPLetterList"/>
    <w:qFormat/>
    <w:pPr>
      <w:numPr>
        <w:numId w:val="8"/>
      </w:numPr>
    </w:pPr>
  </w:style>
  <w:style w:type="paragraph" w:customStyle="1" w:styleId="IPPFooterLandscape">
    <w:name w:val="IPP Footer Landscape"/>
    <w:basedOn w:val="IPPHeaderlandscape"/>
    <w:qFormat/>
    <w:pPr>
      <w:pBdr>
        <w:top w:val="single" w:sz="4" w:space="1" w:color="auto"/>
        <w:bottom w:val="none" w:sz="0" w:space="0" w:color="auto"/>
      </w:pBdr>
      <w:jc w:val="right"/>
    </w:pPr>
    <w:rPr>
      <w:b/>
    </w:rPr>
  </w:style>
  <w:style w:type="paragraph" w:customStyle="1" w:styleId="IPPSubheadSpace">
    <w:name w:val="IPP Subhead Space"/>
    <w:basedOn w:val="IPPSubhead"/>
    <w:qFormat/>
    <w:pPr>
      <w:tabs>
        <w:tab w:val="left" w:pos="567"/>
      </w:tabs>
      <w:spacing w:before="60" w:after="60"/>
    </w:pPr>
  </w:style>
  <w:style w:type="paragraph" w:customStyle="1" w:styleId="IPPSubheadSpaceAfter">
    <w:name w:val="IPP Subhead SpaceAfter"/>
    <w:basedOn w:val="IPPSubhead"/>
    <w:qFormat/>
    <w:pPr>
      <w:spacing w:after="60"/>
    </w:pPr>
  </w:style>
  <w:style w:type="paragraph" w:customStyle="1" w:styleId="IPPHdg1Num">
    <w:name w:val="IPP Hdg1Num"/>
    <w:basedOn w:val="IPPHeading1"/>
    <w:next w:val="IPPNormal"/>
    <w:qFormat/>
    <w:pPr>
      <w:numPr>
        <w:numId w:val="12"/>
      </w:numPr>
    </w:pPr>
  </w:style>
  <w:style w:type="paragraph" w:customStyle="1" w:styleId="IPPHdg2Num">
    <w:name w:val="IPP Hdg2Num"/>
    <w:basedOn w:val="IPPHeading2"/>
    <w:next w:val="IPPNormal"/>
    <w:qFormat/>
    <w:pPr>
      <w:numPr>
        <w:ilvl w:val="1"/>
        <w:numId w:val="13"/>
      </w:numPr>
    </w:pPr>
  </w:style>
  <w:style w:type="paragraph" w:customStyle="1" w:styleId="IPPNumberedList">
    <w:name w:val="IPP NumberedList"/>
    <w:basedOn w:val="IPPBullet1"/>
    <w:qFormat/>
    <w:pPr>
      <w:numPr>
        <w:numId w:val="15"/>
      </w:numPr>
    </w:pPr>
  </w:style>
  <w:style w:type="paragraph" w:customStyle="1" w:styleId="IPPParagraphnumberingclose">
    <w:name w:val="IPP Paragraph numbering close"/>
    <w:basedOn w:val="IPPParagraphnumbering"/>
    <w:qFormat/>
    <w:pPr>
      <w:keepNext/>
      <w:spacing w:after="60"/>
    </w:pPr>
  </w:style>
  <w:style w:type="paragraph" w:customStyle="1" w:styleId="IPPNumberedListLast">
    <w:name w:val="IPP NumberedListLast"/>
    <w:basedOn w:val="IPPNumberedList"/>
    <w:qFormat/>
    <w:pPr>
      <w:spacing w:after="180"/>
    </w:pPr>
  </w:style>
  <w:style w:type="character" w:styleId="CommentReference">
    <w:name w:val="annotation reference"/>
    <w:basedOn w:val="DefaultParagraphFont"/>
    <w:unhideWhenUsed/>
    <w:rPr>
      <w:sz w:val="16"/>
      <w:szCs w:val="16"/>
    </w:rPr>
  </w:style>
  <w:style w:type="paragraph" w:styleId="CommentText">
    <w:name w:val="annotation text"/>
    <w:basedOn w:val="Normal"/>
    <w:link w:val="CommentTextChar"/>
    <w:uiPriority w:val="99"/>
    <w:unhideWhenUsed/>
    <w:qFormat/>
    <w:rPr>
      <w:sz w:val="20"/>
      <w:szCs w:val="20"/>
    </w:rPr>
  </w:style>
  <w:style w:type="character" w:customStyle="1" w:styleId="CommentTextChar">
    <w:name w:val="Comment Text Char"/>
    <w:basedOn w:val="DefaultParagraphFont"/>
    <w:link w:val="CommentText"/>
    <w:uiPriority w:val="99"/>
    <w:qFormat/>
    <w:rPr>
      <w:rFonts w:ascii="Times New Roman" w:eastAsia="MS Mincho" w:hAnsi="Times New Roman" w:cs="Times New Roman"/>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eastAsia="MS Mincho" w:hAnsi="Times New Roman" w:cs="Times New Roman"/>
      <w:b/>
      <w:bCs/>
      <w:sz w:val="20"/>
      <w:szCs w:val="20"/>
    </w:rPr>
  </w:style>
  <w:style w:type="paragraph" w:styleId="Revision">
    <w:name w:val="Revision"/>
    <w:hidden/>
    <w:uiPriority w:val="99"/>
    <w:semiHidden/>
    <w:pPr>
      <w:spacing w:after="0" w:line="240" w:lineRule="auto"/>
    </w:pPr>
    <w:rPr>
      <w:rFonts w:ascii="Times New Roman" w:eastAsia="MS Mincho" w:hAnsi="Times New Roman" w:cs="Times New Roman"/>
      <w:szCs w:val="24"/>
    </w:rPr>
  </w:style>
  <w:style w:type="character" w:customStyle="1" w:styleId="Heading9Char">
    <w:name w:val="Heading 9 Char"/>
    <w:basedOn w:val="DefaultParagraphFont"/>
    <w:link w:val="Heading9"/>
    <w:rPr>
      <w:rFonts w:asciiTheme="majorHAnsi" w:eastAsiaTheme="majorEastAsia" w:hAnsiTheme="majorHAnsi" w:cstheme="majorBidi"/>
      <w:i/>
      <w:iCs/>
      <w:color w:val="272727" w:themeColor="text1" w:themeTint="D8"/>
      <w:sz w:val="21"/>
      <w:szCs w:val="21"/>
    </w:rPr>
  </w:style>
  <w:style w:type="character" w:styleId="FollowedHyperlink">
    <w:name w:val="FollowedHyperlink"/>
    <w:basedOn w:val="DefaultParagraphFont"/>
    <w:uiPriority w:val="99"/>
    <w:semiHidden/>
    <w:unhideWhenUsed/>
    <w:rPr>
      <w:color w:val="954F72" w:themeColor="followedHyperlink"/>
      <w:u w:val="single"/>
    </w:rPr>
  </w:style>
  <w:style w:type="character" w:customStyle="1" w:styleId="Mention1">
    <w:name w:val="Mention1"/>
    <w:basedOn w:val="DefaultParagraphFont"/>
    <w:uiPriority w:val="99"/>
    <w:semiHidden/>
    <w:unhideWhenUsed/>
    <w:rPr>
      <w:color w:val="2B579A"/>
      <w:shd w:val="clear" w:color="auto" w:fill="E6E6E6"/>
    </w:rPr>
  </w:style>
  <w:style w:type="character" w:customStyle="1" w:styleId="PleaseReviewParagraphId">
    <w:name w:val="PleaseReviewParagraphId"/>
    <w:basedOn w:val="DefaultParagraphFont"/>
    <w:rPr>
      <w:rFonts w:ascii="Arial" w:hAnsi="Arial"/>
      <w:b w:val="0"/>
      <w:i w:val="0"/>
      <w:color w:val="000080"/>
      <w:sz w:val="16"/>
      <w:u w:val="none"/>
    </w:rPr>
  </w:style>
  <w:style w:type="paragraph" w:styleId="EndnoteText">
    <w:name w:val="endnote text"/>
    <w:basedOn w:val="Normal"/>
    <w:link w:val="EndnoteTextChar"/>
    <w:uiPriority w:val="99"/>
    <w:unhideWhenUsed/>
    <w:rsid w:val="005D25C1"/>
    <w:pPr>
      <w:jc w:val="left"/>
    </w:pPr>
    <w:rPr>
      <w:rFonts w:asciiTheme="minorHAnsi" w:eastAsiaTheme="minorHAnsi" w:hAnsiTheme="minorHAnsi" w:cstheme="minorBidi"/>
      <w:sz w:val="20"/>
      <w:szCs w:val="20"/>
    </w:rPr>
  </w:style>
  <w:style w:type="character" w:customStyle="1" w:styleId="EndnoteTextChar">
    <w:name w:val="Endnote Text Char"/>
    <w:basedOn w:val="DefaultParagraphFont"/>
    <w:link w:val="EndnoteText"/>
    <w:uiPriority w:val="99"/>
    <w:rsid w:val="005D25C1"/>
    <w:rPr>
      <w:rFonts w:eastAsiaTheme="minorHAnsi"/>
      <w:sz w:val="20"/>
      <w:szCs w:val="20"/>
    </w:rPr>
  </w:style>
  <w:style w:type="character" w:customStyle="1" w:styleId="UnresolvedMention">
    <w:name w:val="Unresolved Mention"/>
    <w:basedOn w:val="DefaultParagraphFont"/>
    <w:uiPriority w:val="99"/>
    <w:semiHidden/>
    <w:unhideWhenUsed/>
    <w:rsid w:val="00CE061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858308">
      <w:bodyDiv w:val="1"/>
      <w:marLeft w:val="0"/>
      <w:marRight w:val="0"/>
      <w:marTop w:val="0"/>
      <w:marBottom w:val="0"/>
      <w:divBdr>
        <w:top w:val="none" w:sz="0" w:space="0" w:color="auto"/>
        <w:left w:val="none" w:sz="0" w:space="0" w:color="auto"/>
        <w:bottom w:val="none" w:sz="0" w:space="0" w:color="auto"/>
        <w:right w:val="none" w:sz="0" w:space="0" w:color="auto"/>
      </w:divBdr>
    </w:div>
    <w:div w:id="235285518">
      <w:bodyDiv w:val="1"/>
      <w:marLeft w:val="0"/>
      <w:marRight w:val="0"/>
      <w:marTop w:val="0"/>
      <w:marBottom w:val="0"/>
      <w:divBdr>
        <w:top w:val="none" w:sz="0" w:space="0" w:color="auto"/>
        <w:left w:val="none" w:sz="0" w:space="0" w:color="auto"/>
        <w:bottom w:val="none" w:sz="0" w:space="0" w:color="auto"/>
        <w:right w:val="none" w:sz="0" w:space="0" w:color="auto"/>
      </w:divBdr>
    </w:div>
    <w:div w:id="244799764">
      <w:bodyDiv w:val="1"/>
      <w:marLeft w:val="0"/>
      <w:marRight w:val="0"/>
      <w:marTop w:val="0"/>
      <w:marBottom w:val="0"/>
      <w:divBdr>
        <w:top w:val="none" w:sz="0" w:space="0" w:color="auto"/>
        <w:left w:val="none" w:sz="0" w:space="0" w:color="auto"/>
        <w:bottom w:val="none" w:sz="0" w:space="0" w:color="auto"/>
        <w:right w:val="none" w:sz="0" w:space="0" w:color="auto"/>
      </w:divBdr>
    </w:div>
    <w:div w:id="435903709">
      <w:bodyDiv w:val="1"/>
      <w:marLeft w:val="0"/>
      <w:marRight w:val="0"/>
      <w:marTop w:val="0"/>
      <w:marBottom w:val="0"/>
      <w:divBdr>
        <w:top w:val="none" w:sz="0" w:space="0" w:color="auto"/>
        <w:left w:val="none" w:sz="0" w:space="0" w:color="auto"/>
        <w:bottom w:val="none" w:sz="0" w:space="0" w:color="auto"/>
        <w:right w:val="none" w:sz="0" w:space="0" w:color="auto"/>
      </w:divBdr>
    </w:div>
    <w:div w:id="436562928">
      <w:bodyDiv w:val="1"/>
      <w:marLeft w:val="0"/>
      <w:marRight w:val="0"/>
      <w:marTop w:val="0"/>
      <w:marBottom w:val="0"/>
      <w:divBdr>
        <w:top w:val="none" w:sz="0" w:space="0" w:color="auto"/>
        <w:left w:val="none" w:sz="0" w:space="0" w:color="auto"/>
        <w:bottom w:val="none" w:sz="0" w:space="0" w:color="auto"/>
        <w:right w:val="none" w:sz="0" w:space="0" w:color="auto"/>
      </w:divBdr>
    </w:div>
    <w:div w:id="475992189">
      <w:bodyDiv w:val="1"/>
      <w:marLeft w:val="0"/>
      <w:marRight w:val="0"/>
      <w:marTop w:val="0"/>
      <w:marBottom w:val="0"/>
      <w:divBdr>
        <w:top w:val="none" w:sz="0" w:space="0" w:color="auto"/>
        <w:left w:val="none" w:sz="0" w:space="0" w:color="auto"/>
        <w:bottom w:val="none" w:sz="0" w:space="0" w:color="auto"/>
        <w:right w:val="none" w:sz="0" w:space="0" w:color="auto"/>
      </w:divBdr>
    </w:div>
    <w:div w:id="489561308">
      <w:bodyDiv w:val="1"/>
      <w:marLeft w:val="0"/>
      <w:marRight w:val="0"/>
      <w:marTop w:val="0"/>
      <w:marBottom w:val="0"/>
      <w:divBdr>
        <w:top w:val="none" w:sz="0" w:space="0" w:color="auto"/>
        <w:left w:val="none" w:sz="0" w:space="0" w:color="auto"/>
        <w:bottom w:val="none" w:sz="0" w:space="0" w:color="auto"/>
        <w:right w:val="none" w:sz="0" w:space="0" w:color="auto"/>
      </w:divBdr>
    </w:div>
    <w:div w:id="654145239">
      <w:bodyDiv w:val="1"/>
      <w:marLeft w:val="0"/>
      <w:marRight w:val="0"/>
      <w:marTop w:val="0"/>
      <w:marBottom w:val="0"/>
      <w:divBdr>
        <w:top w:val="none" w:sz="0" w:space="0" w:color="auto"/>
        <w:left w:val="none" w:sz="0" w:space="0" w:color="auto"/>
        <w:bottom w:val="none" w:sz="0" w:space="0" w:color="auto"/>
        <w:right w:val="none" w:sz="0" w:space="0" w:color="auto"/>
      </w:divBdr>
    </w:div>
    <w:div w:id="657610121">
      <w:bodyDiv w:val="1"/>
      <w:marLeft w:val="0"/>
      <w:marRight w:val="0"/>
      <w:marTop w:val="0"/>
      <w:marBottom w:val="0"/>
      <w:divBdr>
        <w:top w:val="none" w:sz="0" w:space="0" w:color="auto"/>
        <w:left w:val="none" w:sz="0" w:space="0" w:color="auto"/>
        <w:bottom w:val="none" w:sz="0" w:space="0" w:color="auto"/>
        <w:right w:val="none" w:sz="0" w:space="0" w:color="auto"/>
      </w:divBdr>
    </w:div>
    <w:div w:id="678043000">
      <w:bodyDiv w:val="1"/>
      <w:marLeft w:val="0"/>
      <w:marRight w:val="0"/>
      <w:marTop w:val="0"/>
      <w:marBottom w:val="0"/>
      <w:divBdr>
        <w:top w:val="none" w:sz="0" w:space="0" w:color="auto"/>
        <w:left w:val="none" w:sz="0" w:space="0" w:color="auto"/>
        <w:bottom w:val="none" w:sz="0" w:space="0" w:color="auto"/>
        <w:right w:val="none" w:sz="0" w:space="0" w:color="auto"/>
      </w:divBdr>
    </w:div>
    <w:div w:id="708140700">
      <w:bodyDiv w:val="1"/>
      <w:marLeft w:val="0"/>
      <w:marRight w:val="0"/>
      <w:marTop w:val="0"/>
      <w:marBottom w:val="0"/>
      <w:divBdr>
        <w:top w:val="none" w:sz="0" w:space="0" w:color="auto"/>
        <w:left w:val="none" w:sz="0" w:space="0" w:color="auto"/>
        <w:bottom w:val="none" w:sz="0" w:space="0" w:color="auto"/>
        <w:right w:val="none" w:sz="0" w:space="0" w:color="auto"/>
      </w:divBdr>
    </w:div>
    <w:div w:id="772480617">
      <w:bodyDiv w:val="1"/>
      <w:marLeft w:val="0"/>
      <w:marRight w:val="0"/>
      <w:marTop w:val="0"/>
      <w:marBottom w:val="0"/>
      <w:divBdr>
        <w:top w:val="none" w:sz="0" w:space="0" w:color="auto"/>
        <w:left w:val="none" w:sz="0" w:space="0" w:color="auto"/>
        <w:bottom w:val="none" w:sz="0" w:space="0" w:color="auto"/>
        <w:right w:val="none" w:sz="0" w:space="0" w:color="auto"/>
      </w:divBdr>
    </w:div>
    <w:div w:id="780346393">
      <w:bodyDiv w:val="1"/>
      <w:marLeft w:val="0"/>
      <w:marRight w:val="0"/>
      <w:marTop w:val="0"/>
      <w:marBottom w:val="0"/>
      <w:divBdr>
        <w:top w:val="none" w:sz="0" w:space="0" w:color="auto"/>
        <w:left w:val="none" w:sz="0" w:space="0" w:color="auto"/>
        <w:bottom w:val="none" w:sz="0" w:space="0" w:color="auto"/>
        <w:right w:val="none" w:sz="0" w:space="0" w:color="auto"/>
      </w:divBdr>
    </w:div>
    <w:div w:id="839930516">
      <w:bodyDiv w:val="1"/>
      <w:marLeft w:val="0"/>
      <w:marRight w:val="0"/>
      <w:marTop w:val="0"/>
      <w:marBottom w:val="0"/>
      <w:divBdr>
        <w:top w:val="none" w:sz="0" w:space="0" w:color="auto"/>
        <w:left w:val="none" w:sz="0" w:space="0" w:color="auto"/>
        <w:bottom w:val="none" w:sz="0" w:space="0" w:color="auto"/>
        <w:right w:val="none" w:sz="0" w:space="0" w:color="auto"/>
      </w:divBdr>
    </w:div>
    <w:div w:id="850099323">
      <w:bodyDiv w:val="1"/>
      <w:marLeft w:val="0"/>
      <w:marRight w:val="0"/>
      <w:marTop w:val="0"/>
      <w:marBottom w:val="0"/>
      <w:divBdr>
        <w:top w:val="none" w:sz="0" w:space="0" w:color="auto"/>
        <w:left w:val="none" w:sz="0" w:space="0" w:color="auto"/>
        <w:bottom w:val="none" w:sz="0" w:space="0" w:color="auto"/>
        <w:right w:val="none" w:sz="0" w:space="0" w:color="auto"/>
      </w:divBdr>
    </w:div>
    <w:div w:id="999892515">
      <w:bodyDiv w:val="1"/>
      <w:marLeft w:val="0"/>
      <w:marRight w:val="0"/>
      <w:marTop w:val="0"/>
      <w:marBottom w:val="0"/>
      <w:divBdr>
        <w:top w:val="none" w:sz="0" w:space="0" w:color="auto"/>
        <w:left w:val="none" w:sz="0" w:space="0" w:color="auto"/>
        <w:bottom w:val="none" w:sz="0" w:space="0" w:color="auto"/>
        <w:right w:val="none" w:sz="0" w:space="0" w:color="auto"/>
      </w:divBdr>
    </w:div>
    <w:div w:id="1181048912">
      <w:bodyDiv w:val="1"/>
      <w:marLeft w:val="0"/>
      <w:marRight w:val="0"/>
      <w:marTop w:val="0"/>
      <w:marBottom w:val="0"/>
      <w:divBdr>
        <w:top w:val="none" w:sz="0" w:space="0" w:color="auto"/>
        <w:left w:val="none" w:sz="0" w:space="0" w:color="auto"/>
        <w:bottom w:val="none" w:sz="0" w:space="0" w:color="auto"/>
        <w:right w:val="none" w:sz="0" w:space="0" w:color="auto"/>
      </w:divBdr>
    </w:div>
    <w:div w:id="1195191904">
      <w:bodyDiv w:val="1"/>
      <w:marLeft w:val="0"/>
      <w:marRight w:val="0"/>
      <w:marTop w:val="0"/>
      <w:marBottom w:val="0"/>
      <w:divBdr>
        <w:top w:val="none" w:sz="0" w:space="0" w:color="auto"/>
        <w:left w:val="none" w:sz="0" w:space="0" w:color="auto"/>
        <w:bottom w:val="none" w:sz="0" w:space="0" w:color="auto"/>
        <w:right w:val="none" w:sz="0" w:space="0" w:color="auto"/>
      </w:divBdr>
    </w:div>
    <w:div w:id="1200894728">
      <w:bodyDiv w:val="1"/>
      <w:marLeft w:val="0"/>
      <w:marRight w:val="0"/>
      <w:marTop w:val="0"/>
      <w:marBottom w:val="0"/>
      <w:divBdr>
        <w:top w:val="none" w:sz="0" w:space="0" w:color="auto"/>
        <w:left w:val="none" w:sz="0" w:space="0" w:color="auto"/>
        <w:bottom w:val="none" w:sz="0" w:space="0" w:color="auto"/>
        <w:right w:val="none" w:sz="0" w:space="0" w:color="auto"/>
      </w:divBdr>
    </w:div>
    <w:div w:id="1230768539">
      <w:bodyDiv w:val="1"/>
      <w:marLeft w:val="0"/>
      <w:marRight w:val="0"/>
      <w:marTop w:val="0"/>
      <w:marBottom w:val="0"/>
      <w:divBdr>
        <w:top w:val="none" w:sz="0" w:space="0" w:color="auto"/>
        <w:left w:val="none" w:sz="0" w:space="0" w:color="auto"/>
        <w:bottom w:val="none" w:sz="0" w:space="0" w:color="auto"/>
        <w:right w:val="none" w:sz="0" w:space="0" w:color="auto"/>
      </w:divBdr>
    </w:div>
    <w:div w:id="1265768296">
      <w:bodyDiv w:val="1"/>
      <w:marLeft w:val="0"/>
      <w:marRight w:val="0"/>
      <w:marTop w:val="0"/>
      <w:marBottom w:val="0"/>
      <w:divBdr>
        <w:top w:val="none" w:sz="0" w:space="0" w:color="auto"/>
        <w:left w:val="none" w:sz="0" w:space="0" w:color="auto"/>
        <w:bottom w:val="none" w:sz="0" w:space="0" w:color="auto"/>
        <w:right w:val="none" w:sz="0" w:space="0" w:color="auto"/>
      </w:divBdr>
    </w:div>
    <w:div w:id="1272979842">
      <w:bodyDiv w:val="1"/>
      <w:marLeft w:val="0"/>
      <w:marRight w:val="0"/>
      <w:marTop w:val="0"/>
      <w:marBottom w:val="0"/>
      <w:divBdr>
        <w:top w:val="none" w:sz="0" w:space="0" w:color="auto"/>
        <w:left w:val="none" w:sz="0" w:space="0" w:color="auto"/>
        <w:bottom w:val="none" w:sz="0" w:space="0" w:color="auto"/>
        <w:right w:val="none" w:sz="0" w:space="0" w:color="auto"/>
      </w:divBdr>
      <w:divsChild>
        <w:div w:id="776291778">
          <w:marLeft w:val="0"/>
          <w:marRight w:val="0"/>
          <w:marTop w:val="0"/>
          <w:marBottom w:val="0"/>
          <w:divBdr>
            <w:top w:val="none" w:sz="0" w:space="0" w:color="auto"/>
            <w:left w:val="none" w:sz="0" w:space="0" w:color="auto"/>
            <w:bottom w:val="none" w:sz="0" w:space="0" w:color="auto"/>
            <w:right w:val="none" w:sz="0" w:space="0" w:color="auto"/>
          </w:divBdr>
          <w:divsChild>
            <w:div w:id="1831361678">
              <w:marLeft w:val="0"/>
              <w:marRight w:val="0"/>
              <w:marTop w:val="0"/>
              <w:marBottom w:val="0"/>
              <w:divBdr>
                <w:top w:val="none" w:sz="0" w:space="0" w:color="auto"/>
                <w:left w:val="none" w:sz="0" w:space="0" w:color="auto"/>
                <w:bottom w:val="none" w:sz="0" w:space="0" w:color="auto"/>
                <w:right w:val="none" w:sz="0" w:space="0" w:color="auto"/>
              </w:divBdr>
              <w:divsChild>
                <w:div w:id="695810281">
                  <w:marLeft w:val="0"/>
                  <w:marRight w:val="0"/>
                  <w:marTop w:val="0"/>
                  <w:marBottom w:val="0"/>
                  <w:divBdr>
                    <w:top w:val="none" w:sz="0" w:space="0" w:color="auto"/>
                    <w:left w:val="none" w:sz="0" w:space="0" w:color="auto"/>
                    <w:bottom w:val="none" w:sz="0" w:space="0" w:color="auto"/>
                    <w:right w:val="none" w:sz="0" w:space="0" w:color="auto"/>
                  </w:divBdr>
                  <w:divsChild>
                    <w:div w:id="608245412">
                      <w:marLeft w:val="0"/>
                      <w:marRight w:val="0"/>
                      <w:marTop w:val="0"/>
                      <w:marBottom w:val="0"/>
                      <w:divBdr>
                        <w:top w:val="single" w:sz="12" w:space="2" w:color="000000"/>
                        <w:left w:val="single" w:sz="12" w:space="2" w:color="000000"/>
                        <w:bottom w:val="single" w:sz="6" w:space="2" w:color="808080"/>
                        <w:right w:val="single" w:sz="6" w:space="2" w:color="808080"/>
                      </w:divBdr>
                      <w:divsChild>
                        <w:div w:id="1836187879">
                          <w:marLeft w:val="0"/>
                          <w:marRight w:val="0"/>
                          <w:marTop w:val="0"/>
                          <w:marBottom w:val="0"/>
                          <w:divBdr>
                            <w:top w:val="none" w:sz="0" w:space="0" w:color="auto"/>
                            <w:left w:val="none" w:sz="0" w:space="0" w:color="auto"/>
                            <w:bottom w:val="none" w:sz="0" w:space="0" w:color="auto"/>
                            <w:right w:val="none" w:sz="0" w:space="0" w:color="auto"/>
                          </w:divBdr>
                          <w:divsChild>
                            <w:div w:id="40665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9800540">
      <w:bodyDiv w:val="1"/>
      <w:marLeft w:val="0"/>
      <w:marRight w:val="0"/>
      <w:marTop w:val="0"/>
      <w:marBottom w:val="0"/>
      <w:divBdr>
        <w:top w:val="none" w:sz="0" w:space="0" w:color="auto"/>
        <w:left w:val="none" w:sz="0" w:space="0" w:color="auto"/>
        <w:bottom w:val="none" w:sz="0" w:space="0" w:color="auto"/>
        <w:right w:val="none" w:sz="0" w:space="0" w:color="auto"/>
      </w:divBdr>
    </w:div>
    <w:div w:id="1352996895">
      <w:bodyDiv w:val="1"/>
      <w:marLeft w:val="0"/>
      <w:marRight w:val="0"/>
      <w:marTop w:val="0"/>
      <w:marBottom w:val="0"/>
      <w:divBdr>
        <w:top w:val="none" w:sz="0" w:space="0" w:color="auto"/>
        <w:left w:val="none" w:sz="0" w:space="0" w:color="auto"/>
        <w:bottom w:val="none" w:sz="0" w:space="0" w:color="auto"/>
        <w:right w:val="none" w:sz="0" w:space="0" w:color="auto"/>
      </w:divBdr>
    </w:div>
    <w:div w:id="1372874438">
      <w:bodyDiv w:val="1"/>
      <w:marLeft w:val="0"/>
      <w:marRight w:val="0"/>
      <w:marTop w:val="0"/>
      <w:marBottom w:val="0"/>
      <w:divBdr>
        <w:top w:val="none" w:sz="0" w:space="0" w:color="auto"/>
        <w:left w:val="none" w:sz="0" w:space="0" w:color="auto"/>
        <w:bottom w:val="none" w:sz="0" w:space="0" w:color="auto"/>
        <w:right w:val="none" w:sz="0" w:space="0" w:color="auto"/>
      </w:divBdr>
    </w:div>
    <w:div w:id="1414351982">
      <w:bodyDiv w:val="1"/>
      <w:marLeft w:val="0"/>
      <w:marRight w:val="0"/>
      <w:marTop w:val="0"/>
      <w:marBottom w:val="0"/>
      <w:divBdr>
        <w:top w:val="none" w:sz="0" w:space="0" w:color="auto"/>
        <w:left w:val="none" w:sz="0" w:space="0" w:color="auto"/>
        <w:bottom w:val="none" w:sz="0" w:space="0" w:color="auto"/>
        <w:right w:val="none" w:sz="0" w:space="0" w:color="auto"/>
      </w:divBdr>
    </w:div>
    <w:div w:id="1535386435">
      <w:bodyDiv w:val="1"/>
      <w:marLeft w:val="0"/>
      <w:marRight w:val="0"/>
      <w:marTop w:val="0"/>
      <w:marBottom w:val="0"/>
      <w:divBdr>
        <w:top w:val="none" w:sz="0" w:space="0" w:color="auto"/>
        <w:left w:val="none" w:sz="0" w:space="0" w:color="auto"/>
        <w:bottom w:val="none" w:sz="0" w:space="0" w:color="auto"/>
        <w:right w:val="none" w:sz="0" w:space="0" w:color="auto"/>
      </w:divBdr>
    </w:div>
    <w:div w:id="1776712027">
      <w:bodyDiv w:val="1"/>
      <w:marLeft w:val="0"/>
      <w:marRight w:val="0"/>
      <w:marTop w:val="0"/>
      <w:marBottom w:val="0"/>
      <w:divBdr>
        <w:top w:val="none" w:sz="0" w:space="0" w:color="auto"/>
        <w:left w:val="none" w:sz="0" w:space="0" w:color="auto"/>
        <w:bottom w:val="none" w:sz="0" w:space="0" w:color="auto"/>
        <w:right w:val="none" w:sz="0" w:space="0" w:color="auto"/>
      </w:divBdr>
    </w:div>
    <w:div w:id="1838037769">
      <w:bodyDiv w:val="1"/>
      <w:marLeft w:val="0"/>
      <w:marRight w:val="0"/>
      <w:marTop w:val="0"/>
      <w:marBottom w:val="0"/>
      <w:divBdr>
        <w:top w:val="none" w:sz="0" w:space="0" w:color="auto"/>
        <w:left w:val="none" w:sz="0" w:space="0" w:color="auto"/>
        <w:bottom w:val="none" w:sz="0" w:space="0" w:color="auto"/>
        <w:right w:val="none" w:sz="0" w:space="0" w:color="auto"/>
      </w:divBdr>
    </w:div>
    <w:div w:id="1899978876">
      <w:bodyDiv w:val="1"/>
      <w:marLeft w:val="0"/>
      <w:marRight w:val="0"/>
      <w:marTop w:val="0"/>
      <w:marBottom w:val="0"/>
      <w:divBdr>
        <w:top w:val="none" w:sz="0" w:space="0" w:color="auto"/>
        <w:left w:val="none" w:sz="0" w:space="0" w:color="auto"/>
        <w:bottom w:val="none" w:sz="0" w:space="0" w:color="auto"/>
        <w:right w:val="none" w:sz="0" w:space="0" w:color="auto"/>
      </w:divBdr>
    </w:div>
    <w:div w:id="1997956289">
      <w:bodyDiv w:val="1"/>
      <w:marLeft w:val="0"/>
      <w:marRight w:val="0"/>
      <w:marTop w:val="0"/>
      <w:marBottom w:val="0"/>
      <w:divBdr>
        <w:top w:val="none" w:sz="0" w:space="0" w:color="auto"/>
        <w:left w:val="none" w:sz="0" w:space="0" w:color="auto"/>
        <w:bottom w:val="none" w:sz="0" w:space="0" w:color="auto"/>
        <w:right w:val="none" w:sz="0" w:space="0" w:color="auto"/>
      </w:divBdr>
    </w:div>
    <w:div w:id="2080597237">
      <w:bodyDiv w:val="1"/>
      <w:marLeft w:val="0"/>
      <w:marRight w:val="0"/>
      <w:marTop w:val="0"/>
      <w:marBottom w:val="0"/>
      <w:divBdr>
        <w:top w:val="none" w:sz="0" w:space="0" w:color="auto"/>
        <w:left w:val="none" w:sz="0" w:space="0" w:color="auto"/>
        <w:bottom w:val="none" w:sz="0" w:space="0" w:color="auto"/>
        <w:right w:val="none" w:sz="0" w:space="0" w:color="auto"/>
      </w:divBdr>
    </w:div>
    <w:div w:id="2146316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mailto:ippc@fao.org" TargetMode="External"/><Relationship Id="rId26" Type="http://schemas.openxmlformats.org/officeDocument/2006/relationships/image" Target="media/image6.jpeg"/><Relationship Id="rId39"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hyperlink" Target="http://www-naweb.iaea.org/nafa/ipc/public/Trapping-guideline-(002).pdf" TargetMode="External"/><Relationship Id="rId34" Type="http://schemas.openxmlformats.org/officeDocument/2006/relationships/image" Target="media/image14.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mailto:leblancl@uidaho.edu" TargetMode="External"/><Relationship Id="rId25"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hyperlink" Target="mailto:sujinda.tha@mahidol.ac.th" TargetMode="External"/><Relationship Id="rId20" Type="http://schemas.openxmlformats.org/officeDocument/2006/relationships/hyperlink" Target="http://www.cabi.org/isc/" TargetMode="External"/><Relationship Id="rId29" Type="http://schemas.openxmlformats.org/officeDocument/2006/relationships/image" Target="media/image9.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32" Type="http://schemas.openxmlformats.org/officeDocument/2006/relationships/image" Target="media/image12.jpeg"/><Relationship Id="rId37" Type="http://schemas.openxmlformats.org/officeDocument/2006/relationships/image" Target="media/image17.emf"/><Relationship Id="rId40" Type="http://schemas.openxmlformats.org/officeDocument/2006/relationships/image" Target="media/image20.emf"/><Relationship Id="rId5" Type="http://schemas.openxmlformats.org/officeDocument/2006/relationships/webSettings" Target="webSettings.xml"/><Relationship Id="rId15" Type="http://schemas.openxmlformats.org/officeDocument/2006/relationships/hyperlink" Target="mailto:tsurutak@pps.maff.go.jp" TargetMode="External"/><Relationship Id="rId23" Type="http://schemas.openxmlformats.org/officeDocument/2006/relationships/image" Target="media/image3.png"/><Relationship Id="rId28" Type="http://schemas.openxmlformats.org/officeDocument/2006/relationships/image" Target="media/image8.emf"/><Relationship Id="rId36" Type="http://schemas.openxmlformats.org/officeDocument/2006/relationships/image" Target="media/image16.emf"/><Relationship Id="rId49" Type="http://schemas.microsoft.com/office/2016/09/relationships/commentsIds" Target="commentsIds.xml"/><Relationship Id="rId10" Type="http://schemas.openxmlformats.org/officeDocument/2006/relationships/footer" Target="footer1.xml"/><Relationship Id="rId19" Type="http://schemas.openxmlformats.org/officeDocument/2006/relationships/hyperlink" Target="https://www.ippc.int/core-activities/standards-setting/ispms" TargetMode="External"/><Relationship Id="rId3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www.barcodinglife.org/" TargetMode="External"/><Relationship Id="rId27" Type="http://schemas.openxmlformats.org/officeDocument/2006/relationships/image" Target="media/image7.emf"/><Relationship Id="rId30" Type="http://schemas.openxmlformats.org/officeDocument/2006/relationships/image" Target="media/image10.jpeg"/><Relationship Id="rId35" Type="http://schemas.openxmlformats.org/officeDocument/2006/relationships/image" Target="media/image15.emf"/></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ller\AppData\Roaming\Microsoft\Templates\IPPC_2015-06-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6A0B827A-85EF-4AC8-932E-6C473CC4F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IPPC_2015-06-04.dotx</Template>
  <TotalTime>0</TotalTime>
  <Pages>38</Pages>
  <Words>10195</Words>
  <Characters>58113</Characters>
  <Application>Microsoft Office Word</Application>
  <DocSecurity>0</DocSecurity>
  <Lines>484</Lines>
  <Paragraphs>136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FAO of the UN</Company>
  <LinksUpToDate>false</LinksUpToDate>
  <CharactersWithSpaces>68172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Farren, Martin (AGDI)</dc:creator>
  <cp:lastModifiedBy>Goritschnig, Sandra (AGDI)</cp:lastModifiedBy>
  <cp:revision>2</cp:revision>
  <cp:lastPrinted>2017-03-22T19:42:00Z</cp:lastPrinted>
  <dcterms:created xsi:type="dcterms:W3CDTF">2018-06-13T13:58:00Z</dcterms:created>
  <dcterms:modified xsi:type="dcterms:W3CDTF">2018-06-13T13:58:00Z</dcterms:modified>
</cp:coreProperties>
</file>