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752B13" w14:textId="6966968A" w:rsidR="00CF40DE" w:rsidRPr="0089342A" w:rsidRDefault="0089342A" w:rsidP="0089342A">
      <w:pPr>
        <w:jc w:val="center"/>
        <w:rPr>
          <w:rFonts w:ascii="Times New Roman" w:eastAsia="Times" w:hAnsi="Times New Roman" w:cs="Times New Roman"/>
          <w:b/>
          <w:bCs/>
          <w:caps/>
          <w:sz w:val="24"/>
          <w:lang w:val="en-GB"/>
        </w:rPr>
      </w:pPr>
      <w:r w:rsidRPr="0089342A">
        <w:rPr>
          <w:rFonts w:ascii="Times New Roman" w:eastAsia="Times" w:hAnsi="Times New Roman" w:cs="Times New Roman"/>
          <w:b/>
          <w:bCs/>
          <w:caps/>
          <w:sz w:val="24"/>
          <w:lang w:val="en-GB"/>
        </w:rPr>
        <w:t>DISCIPLINE LEAD’S SUMMARY OF COMMENTS FROM CONSULTATION</w:t>
      </w:r>
    </w:p>
    <w:p w14:paraId="25EB4182" w14:textId="40319879" w:rsidR="0089342A" w:rsidRDefault="0089342A" w:rsidP="00BA580D">
      <w:pPr>
        <w:pStyle w:val="PleaseReviewReportTitle"/>
        <w:jc w:val="center"/>
        <w:rPr>
          <w:rFonts w:ascii="Times New Roman" w:eastAsia="Times" w:hAnsi="Times New Roman" w:cs="Times New Roman"/>
          <w:bCs/>
          <w:caps/>
          <w:noProof w:val="0"/>
          <w:sz w:val="24"/>
          <w:szCs w:val="22"/>
          <w:lang w:val="en-GB"/>
        </w:rPr>
      </w:pPr>
      <w:r w:rsidRPr="0089342A">
        <w:rPr>
          <w:rFonts w:ascii="Times New Roman" w:eastAsia="Times" w:hAnsi="Times New Roman" w:cs="Times New Roman"/>
          <w:bCs/>
          <w:caps/>
          <w:noProof w:val="0"/>
          <w:sz w:val="24"/>
          <w:szCs w:val="22"/>
          <w:lang w:val="en-GB"/>
        </w:rPr>
        <w:t>Mononychellus tanajoa (2018-006</w:t>
      </w:r>
      <w:r w:rsidR="00BA580D">
        <w:rPr>
          <w:rFonts w:ascii="Times New Roman" w:eastAsia="Times" w:hAnsi="Times New Roman" w:cs="Times New Roman"/>
          <w:bCs/>
          <w:caps/>
          <w:noProof w:val="0"/>
          <w:sz w:val="24"/>
          <w:szCs w:val="22"/>
          <w:lang w:val="en-GB"/>
        </w:rPr>
        <w:t>)</w:t>
      </w:r>
    </w:p>
    <w:p w14:paraId="49B34122" w14:textId="65DE8F9D" w:rsidR="00226689" w:rsidRDefault="00F00706" w:rsidP="00F00706">
      <w:pPr>
        <w:tabs>
          <w:tab w:val="center" w:pos="4513"/>
          <w:tab w:val="left" w:pos="6330"/>
        </w:tabs>
        <w:rPr>
          <w:rFonts w:ascii="Times New Roman" w:hAnsi="Times New Roman" w:cs="Times New Roman"/>
          <w:i/>
          <w:lang w:val="en-GB"/>
        </w:rPr>
      </w:pPr>
      <w:r>
        <w:rPr>
          <w:rFonts w:ascii="Times New Roman" w:hAnsi="Times New Roman" w:cs="Times New Roman"/>
          <w:i/>
          <w:lang w:val="en-GB"/>
        </w:rPr>
        <w:tab/>
      </w:r>
      <w:r w:rsidR="00226689" w:rsidRPr="00226689">
        <w:rPr>
          <w:rFonts w:ascii="Times New Roman" w:hAnsi="Times New Roman" w:cs="Times New Roman"/>
          <w:i/>
          <w:lang w:val="en-GB"/>
        </w:rPr>
        <w:t>(Prepared by Juliet Goldsmith)</w:t>
      </w:r>
      <w:r>
        <w:rPr>
          <w:rFonts w:ascii="Times New Roman" w:hAnsi="Times New Roman" w:cs="Times New Roman"/>
          <w:i/>
          <w:lang w:val="en-GB"/>
        </w:rPr>
        <w:tab/>
      </w:r>
    </w:p>
    <w:p w14:paraId="263863FC" w14:textId="715BE062" w:rsidR="00F00706" w:rsidRPr="00226689" w:rsidRDefault="00F00706" w:rsidP="00F00706">
      <w:pPr>
        <w:tabs>
          <w:tab w:val="center" w:pos="4513"/>
          <w:tab w:val="left" w:pos="6330"/>
        </w:tabs>
        <w:rPr>
          <w:rFonts w:ascii="Times New Roman" w:hAnsi="Times New Roman" w:cs="Times New Roman"/>
          <w:i/>
          <w:lang w:val="en-GB"/>
        </w:rPr>
      </w:pPr>
      <w:r w:rsidRPr="00F00706">
        <w:rPr>
          <w:rFonts w:ascii="Times New Roman" w:hAnsi="Times New Roman" w:cs="Times New Roman"/>
          <w:i/>
          <w:highlight w:val="yellow"/>
          <w:lang w:val="en-GB"/>
        </w:rPr>
        <w:t xml:space="preserve">Notes: Paper as presented to the TPDP in 2022 Oct-November </w:t>
      </w:r>
      <w:r w:rsidRPr="009C5326">
        <w:rPr>
          <w:rFonts w:ascii="Times New Roman" w:hAnsi="Times New Roman" w:cs="Times New Roman"/>
          <w:i/>
          <w:highlight w:val="yellow"/>
          <w:lang w:val="en-GB"/>
        </w:rPr>
        <w:t>meeting</w:t>
      </w:r>
      <w:r w:rsidR="009C5326" w:rsidRPr="009C5326">
        <w:rPr>
          <w:rFonts w:ascii="Times New Roman" w:hAnsi="Times New Roman" w:cs="Times New Roman"/>
          <w:i/>
          <w:highlight w:val="yellow"/>
          <w:lang w:val="en-GB"/>
        </w:rPr>
        <w:t>. Comments already addressed</w:t>
      </w:r>
    </w:p>
    <w:p w14:paraId="30E73021" w14:textId="1965FAC4" w:rsidR="0041753E" w:rsidRPr="00226689" w:rsidRDefault="0089342A" w:rsidP="007B15D7">
      <w:pPr>
        <w:pStyle w:val="IPPParagraphnumbering"/>
      </w:pPr>
      <w:r>
        <w:t>T</w:t>
      </w:r>
      <w:r w:rsidRPr="00B778C6">
        <w:t xml:space="preserve">he draft DP for </w:t>
      </w:r>
      <w:proofErr w:type="spellStart"/>
      <w:r w:rsidRPr="00226689">
        <w:rPr>
          <w:rFonts w:eastAsia="Verdana"/>
          <w:i/>
        </w:rPr>
        <w:t>Mononychellus</w:t>
      </w:r>
      <w:proofErr w:type="spellEnd"/>
      <w:r w:rsidRPr="00226689">
        <w:rPr>
          <w:rFonts w:eastAsia="Verdana"/>
          <w:i/>
        </w:rPr>
        <w:t xml:space="preserve"> </w:t>
      </w:r>
      <w:proofErr w:type="spellStart"/>
      <w:r w:rsidR="000D3F7B" w:rsidRPr="00226689">
        <w:rPr>
          <w:rFonts w:eastAsia="Verdana"/>
          <w:i/>
        </w:rPr>
        <w:t>tanajoa</w:t>
      </w:r>
      <w:proofErr w:type="spellEnd"/>
      <w:r w:rsidR="000D3F7B" w:rsidRPr="00226689">
        <w:rPr>
          <w:rFonts w:eastAsia="Verdana"/>
          <w:i/>
        </w:rPr>
        <w:t xml:space="preserve"> </w:t>
      </w:r>
      <w:r w:rsidR="000D3F7B" w:rsidRPr="00226689">
        <w:rPr>
          <w:rFonts w:eastAsia="Verdana"/>
        </w:rPr>
        <w:t>(</w:t>
      </w:r>
      <w:r w:rsidRPr="00226689">
        <w:rPr>
          <w:rFonts w:eastAsia="Verdana"/>
        </w:rPr>
        <w:t>2018-00)</w:t>
      </w:r>
      <w:r w:rsidRPr="00B778C6">
        <w:t xml:space="preserve"> was submitted to fir</w:t>
      </w:r>
      <w:r>
        <w:t xml:space="preserve">st consultation on 01 July </w:t>
      </w:r>
      <w:r w:rsidR="006065EF">
        <w:t xml:space="preserve">2022-30 September 2022. </w:t>
      </w:r>
      <w:r w:rsidRPr="00B778C6">
        <w:t xml:space="preserve">There </w:t>
      </w:r>
      <w:r w:rsidR="000D3F7B" w:rsidRPr="00B778C6">
        <w:t>was</w:t>
      </w:r>
      <w:r w:rsidRPr="00B778C6">
        <w:t xml:space="preserve"> a total of </w:t>
      </w:r>
      <w:r w:rsidRPr="00226689">
        <w:rPr>
          <w:b/>
          <w:bCs/>
        </w:rPr>
        <w:t>1</w:t>
      </w:r>
      <w:r w:rsidR="00A6273A" w:rsidRPr="00226689">
        <w:rPr>
          <w:b/>
          <w:bCs/>
        </w:rPr>
        <w:t>2</w:t>
      </w:r>
      <w:r w:rsidRPr="00226689">
        <w:rPr>
          <w:b/>
          <w:bCs/>
        </w:rPr>
        <w:t>4 comments</w:t>
      </w:r>
      <w:r>
        <w:t xml:space="preserve"> </w:t>
      </w:r>
      <w:r w:rsidR="006065EF">
        <w:t xml:space="preserve">on the </w:t>
      </w:r>
      <w:r w:rsidR="0056784C">
        <w:t xml:space="preserve">draft </w:t>
      </w:r>
      <w:r w:rsidR="006065EF">
        <w:t>DP</w:t>
      </w:r>
      <w:r w:rsidR="00BF4891">
        <w:t xml:space="preserve">, </w:t>
      </w:r>
      <w:r w:rsidR="00BF4891" w:rsidRPr="00226689">
        <w:rPr>
          <w:b/>
          <w:bCs/>
        </w:rPr>
        <w:t>2</w:t>
      </w:r>
      <w:r w:rsidR="00A6273A" w:rsidRPr="00226689">
        <w:rPr>
          <w:b/>
          <w:bCs/>
        </w:rPr>
        <w:t xml:space="preserve">5 </w:t>
      </w:r>
      <w:r w:rsidR="00BF4891" w:rsidRPr="00375249">
        <w:t xml:space="preserve">of </w:t>
      </w:r>
      <w:r w:rsidR="00280850" w:rsidRPr="00375249">
        <w:t>which were</w:t>
      </w:r>
      <w:r w:rsidR="00BF4891" w:rsidRPr="00226689">
        <w:rPr>
          <w:b/>
          <w:bCs/>
        </w:rPr>
        <w:t xml:space="preserve"> general comments</w:t>
      </w:r>
      <w:r w:rsidR="00104025">
        <w:t xml:space="preserve">. </w:t>
      </w:r>
      <w:r w:rsidR="000A01FE">
        <w:t>Twenty</w:t>
      </w:r>
      <w:r w:rsidR="00D770D2">
        <w:t xml:space="preserve"> of </w:t>
      </w:r>
      <w:r w:rsidR="006E4341">
        <w:t>t</w:t>
      </w:r>
      <w:r w:rsidR="0087014A">
        <w:t>he</w:t>
      </w:r>
      <w:r w:rsidR="00D770D2">
        <w:t xml:space="preserve"> </w:t>
      </w:r>
      <w:r w:rsidR="002147FE">
        <w:t>general c</w:t>
      </w:r>
      <w:bookmarkStart w:id="0" w:name="_GoBack"/>
      <w:bookmarkEnd w:id="0"/>
      <w:r w:rsidR="002147FE">
        <w:t>omments support</w:t>
      </w:r>
      <w:r w:rsidR="0056784C">
        <w:t>ed</w:t>
      </w:r>
      <w:r w:rsidR="002147FE">
        <w:t>/approve</w:t>
      </w:r>
      <w:r w:rsidR="0056784C">
        <w:t>d</w:t>
      </w:r>
      <w:r w:rsidR="002147FE">
        <w:t xml:space="preserve"> the draft or </w:t>
      </w:r>
      <w:r w:rsidR="00546B12">
        <w:t>indicted they ha</w:t>
      </w:r>
      <w:r w:rsidR="00871361">
        <w:t xml:space="preserve">d </w:t>
      </w:r>
      <w:r w:rsidR="00095340">
        <w:t xml:space="preserve">no </w:t>
      </w:r>
      <w:r w:rsidR="00546B12">
        <w:t xml:space="preserve">comments or objection </w:t>
      </w:r>
      <w:r w:rsidR="000E69E2">
        <w:t xml:space="preserve">to the adoption of </w:t>
      </w:r>
      <w:r w:rsidR="00546B12">
        <w:t xml:space="preserve">the </w:t>
      </w:r>
      <w:r w:rsidR="000E69E2">
        <w:t xml:space="preserve">DP. </w:t>
      </w:r>
      <w:r w:rsidR="00E231F9">
        <w:t>On</w:t>
      </w:r>
      <w:r w:rsidR="00BC647C">
        <w:t>e</w:t>
      </w:r>
      <w:r w:rsidR="00E231F9">
        <w:t xml:space="preserve"> general </w:t>
      </w:r>
      <w:r w:rsidR="00104B42">
        <w:t xml:space="preserve">comment </w:t>
      </w:r>
      <w:r w:rsidR="007F353F">
        <w:t>(90) requested additional information and is to be con</w:t>
      </w:r>
      <w:r w:rsidR="00121DA9">
        <w:t xml:space="preserve">sidered by the Authors/TPDP. </w:t>
      </w:r>
      <w:r w:rsidR="00280850">
        <w:t xml:space="preserve">In addition, there were </w:t>
      </w:r>
      <w:r w:rsidR="00280850" w:rsidRPr="00226689">
        <w:rPr>
          <w:b/>
          <w:bCs/>
        </w:rPr>
        <w:t>67 editorial</w:t>
      </w:r>
      <w:r w:rsidR="00280850">
        <w:t xml:space="preserve">, </w:t>
      </w:r>
      <w:r w:rsidR="00280850" w:rsidRPr="00226689">
        <w:rPr>
          <w:b/>
          <w:bCs/>
        </w:rPr>
        <w:t xml:space="preserve">24 technical and eight substantive comments. </w:t>
      </w:r>
    </w:p>
    <w:p w14:paraId="2F2023E1" w14:textId="61E75444" w:rsidR="00871361" w:rsidRPr="0041753E" w:rsidRDefault="00501001" w:rsidP="00226689">
      <w:pPr>
        <w:pStyle w:val="IPPParagraphnumbering"/>
        <w:rPr>
          <w:b/>
          <w:bCs/>
        </w:rPr>
      </w:pPr>
      <w:r>
        <w:t xml:space="preserve">Most of the comments have been incorporated or </w:t>
      </w:r>
      <w:r w:rsidR="00F66677">
        <w:t xml:space="preserve">the suggestions </w:t>
      </w:r>
      <w:r>
        <w:t>modified</w:t>
      </w:r>
      <w:r w:rsidR="00A32392">
        <w:t xml:space="preserve">. </w:t>
      </w:r>
      <w:r w:rsidR="004C3442">
        <w:t xml:space="preserve"> </w:t>
      </w:r>
      <w:r w:rsidR="008B29C3">
        <w:t xml:space="preserve">Some of the editorial </w:t>
      </w:r>
      <w:r w:rsidR="00DF254A">
        <w:t>comments</w:t>
      </w:r>
      <w:r w:rsidR="008B29C3">
        <w:t xml:space="preserve"> were </w:t>
      </w:r>
      <w:r w:rsidR="00DF254A">
        <w:t xml:space="preserve">related to the formatting of the document which affected how the pictures were displayed when </w:t>
      </w:r>
      <w:r w:rsidR="00E853DA">
        <w:t xml:space="preserve">downloaded and printed. </w:t>
      </w:r>
      <w:r w:rsidR="00A32392">
        <w:t>Maybe t</w:t>
      </w:r>
      <w:r w:rsidR="00E853DA">
        <w:t xml:space="preserve">hese can be addressed in the final </w:t>
      </w:r>
      <w:r w:rsidR="005C10B1">
        <w:t>documents</w:t>
      </w:r>
      <w:r w:rsidR="00A32392">
        <w:t xml:space="preserve"> are being prepared for printing</w:t>
      </w:r>
      <w:r w:rsidR="00E853DA">
        <w:t xml:space="preserve">. </w:t>
      </w:r>
      <w:r w:rsidR="00F813BB">
        <w:t xml:space="preserve">In other </w:t>
      </w:r>
      <w:r w:rsidR="00742D4E">
        <w:t>instances,</w:t>
      </w:r>
      <w:r w:rsidR="006F10D9">
        <w:t xml:space="preserve"> </w:t>
      </w:r>
      <w:r w:rsidR="005C10B1">
        <w:t>better quality images</w:t>
      </w:r>
      <w:r w:rsidR="0051374F">
        <w:t xml:space="preserve"> </w:t>
      </w:r>
      <w:r w:rsidR="00F813BB">
        <w:t>have been requested a</w:t>
      </w:r>
      <w:r w:rsidR="0051374F">
        <w:t xml:space="preserve">nd </w:t>
      </w:r>
      <w:r w:rsidR="00F813BB">
        <w:t xml:space="preserve">this </w:t>
      </w:r>
      <w:r w:rsidR="0051374F">
        <w:t>will be explore</w:t>
      </w:r>
      <w:r w:rsidR="00F813BB">
        <w:t>d with the authors</w:t>
      </w:r>
      <w:r w:rsidR="00276004">
        <w:t xml:space="preserve">. </w:t>
      </w:r>
    </w:p>
    <w:p w14:paraId="5C7F282A" w14:textId="6E9ABD1C" w:rsidR="00BC12DB" w:rsidRDefault="004E6C28" w:rsidP="007B15D7">
      <w:pPr>
        <w:pStyle w:val="IPPParagraphnumbering"/>
      </w:pPr>
      <w:r>
        <w:t>In the table b</w:t>
      </w:r>
      <w:r w:rsidR="006F10D9">
        <w:t xml:space="preserve">elow are the </w:t>
      </w:r>
      <w:r w:rsidR="003155FD">
        <w:t xml:space="preserve">main </w:t>
      </w:r>
      <w:r w:rsidR="00276004">
        <w:t xml:space="preserve">technical </w:t>
      </w:r>
      <w:r w:rsidR="00742D4E">
        <w:t xml:space="preserve">and substantive comments </w:t>
      </w:r>
      <w:r w:rsidR="0009679B">
        <w:t xml:space="preserve">received </w:t>
      </w:r>
      <w:r w:rsidR="00A2237A">
        <w:t xml:space="preserve">and the responses provided. </w:t>
      </w:r>
      <w:r w:rsidR="003D3ADE">
        <w:t xml:space="preserve">While the TPDP is invited to </w:t>
      </w:r>
      <w:r w:rsidR="000D0737">
        <w:t>review</w:t>
      </w:r>
      <w:r w:rsidR="003D3ADE">
        <w:t xml:space="preserve"> all </w:t>
      </w:r>
      <w:r w:rsidR="000D0737">
        <w:t xml:space="preserve">responses, please note that there are some comments for which input form the panel is particularly welcome. </w:t>
      </w:r>
      <w:r w:rsidR="00226689">
        <w:t>Also,</w:t>
      </w:r>
      <w:r w:rsidR="000D0737">
        <w:t xml:space="preserve"> note that </w:t>
      </w:r>
      <w:r w:rsidR="00B521BD">
        <w:t xml:space="preserve">I am awaiting responses from the drafting team on </w:t>
      </w:r>
      <w:r w:rsidR="00BC12DB">
        <w:t xml:space="preserve">several comments. </w:t>
      </w:r>
    </w:p>
    <w:tbl>
      <w:tblPr>
        <w:tblStyle w:val="GridTable1Light-Accent1"/>
        <w:tblpPr w:leftFromText="180" w:rightFromText="180" w:vertAnchor="text" w:tblpY="1"/>
        <w:tblW w:w="5051" w:type="pct"/>
        <w:tblLayout w:type="fixed"/>
        <w:tblLook w:val="04A0" w:firstRow="1" w:lastRow="0" w:firstColumn="1" w:lastColumn="0" w:noHBand="0" w:noVBand="1"/>
      </w:tblPr>
      <w:tblGrid>
        <w:gridCol w:w="863"/>
        <w:gridCol w:w="2951"/>
        <w:gridCol w:w="3037"/>
        <w:gridCol w:w="2257"/>
      </w:tblGrid>
      <w:tr w:rsidR="00576EA8" w:rsidRPr="004C21F4" w14:paraId="6C8F9159" w14:textId="77777777" w:rsidTr="00226689">
        <w:trPr>
          <w:cnfStyle w:val="100000000000" w:firstRow="1" w:lastRow="0" w:firstColumn="0" w:lastColumn="0" w:oddVBand="0" w:evenVBand="0" w:oddHBand="0" w:evenHBand="0" w:firstRowFirstColumn="0" w:firstRowLastColumn="0" w:lastRowFirstColumn="0" w:lastRowLastColumn="0"/>
          <w:trHeight w:val="200"/>
          <w:tblHeader/>
        </w:trPr>
        <w:tc>
          <w:tcPr>
            <w:cnfStyle w:val="001000000000" w:firstRow="0" w:lastRow="0" w:firstColumn="1" w:lastColumn="0" w:oddVBand="0" w:evenVBand="0" w:oddHBand="0" w:evenHBand="0" w:firstRowFirstColumn="0" w:firstRowLastColumn="0" w:lastRowFirstColumn="0" w:lastRowLastColumn="0"/>
            <w:tcW w:w="474" w:type="pct"/>
          </w:tcPr>
          <w:p w14:paraId="107D929F" w14:textId="77777777" w:rsidR="006C5445" w:rsidRPr="004C21F4" w:rsidRDefault="006C5445" w:rsidP="0054726C">
            <w:pPr>
              <w:pStyle w:val="PleaseReviewReportHeader"/>
              <w:jc w:val="center"/>
              <w:rPr>
                <w:rFonts w:asciiTheme="minorHAnsi" w:hAnsiTheme="minorHAnsi" w:cstheme="minorHAnsi"/>
                <w:sz w:val="18"/>
                <w:szCs w:val="18"/>
              </w:rPr>
            </w:pPr>
            <w:r w:rsidRPr="004C21F4">
              <w:rPr>
                <w:rFonts w:asciiTheme="minorHAnsi" w:hAnsiTheme="minorHAnsi" w:cstheme="minorHAnsi"/>
                <w:sz w:val="18"/>
                <w:szCs w:val="18"/>
              </w:rPr>
              <w:t>Para</w:t>
            </w:r>
          </w:p>
        </w:tc>
        <w:tc>
          <w:tcPr>
            <w:tcW w:w="1620" w:type="pct"/>
          </w:tcPr>
          <w:p w14:paraId="3C6E8E17" w14:textId="77777777" w:rsidR="006C5445" w:rsidRPr="004C21F4" w:rsidRDefault="006C5445" w:rsidP="0054726C">
            <w:pPr>
              <w:pStyle w:val="PleaseReviewReportHead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Text</w:t>
            </w:r>
          </w:p>
        </w:tc>
        <w:tc>
          <w:tcPr>
            <w:tcW w:w="1667" w:type="pct"/>
          </w:tcPr>
          <w:p w14:paraId="784DE843" w14:textId="77777777" w:rsidR="006C5445" w:rsidRPr="004C21F4" w:rsidRDefault="006C5445" w:rsidP="0054726C">
            <w:pPr>
              <w:pStyle w:val="PleaseReviewReportHead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Comment</w:t>
            </w:r>
          </w:p>
        </w:tc>
        <w:tc>
          <w:tcPr>
            <w:tcW w:w="1239" w:type="pct"/>
          </w:tcPr>
          <w:p w14:paraId="5FD43F5C" w14:textId="77777777" w:rsidR="006C5445" w:rsidRPr="004C21F4" w:rsidRDefault="006C5445" w:rsidP="0054726C">
            <w:pPr>
              <w:pStyle w:val="PleaseReviewReportHeader"/>
              <w:cnfStyle w:val="100000000000" w:firstRow="1"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Discipline Lead’s response</w:t>
            </w:r>
          </w:p>
        </w:tc>
      </w:tr>
      <w:tr w:rsidR="007E6564" w:rsidRPr="004C21F4" w14:paraId="6B15C397" w14:textId="77777777" w:rsidTr="007E6564">
        <w:tc>
          <w:tcPr>
            <w:cnfStyle w:val="001000000000" w:firstRow="0" w:lastRow="0" w:firstColumn="1" w:lastColumn="0" w:oddVBand="0" w:evenVBand="0" w:oddHBand="0" w:evenHBand="0" w:firstRowFirstColumn="0" w:firstRowLastColumn="0" w:lastRowFirstColumn="0" w:lastRowLastColumn="0"/>
            <w:tcW w:w="474" w:type="pct"/>
          </w:tcPr>
          <w:p w14:paraId="5AC7F6DF" w14:textId="77777777" w:rsidR="007E6564" w:rsidRPr="004C21F4" w:rsidRDefault="007E6564"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G</w:t>
            </w:r>
          </w:p>
        </w:tc>
        <w:tc>
          <w:tcPr>
            <w:tcW w:w="3287" w:type="pct"/>
            <w:gridSpan w:val="2"/>
          </w:tcPr>
          <w:p w14:paraId="60F9D639" w14:textId="77777777" w:rsidR="007E6564" w:rsidRPr="004C21F4" w:rsidRDefault="007E6564"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(General Comment)</w:t>
            </w:r>
          </w:p>
          <w:p w14:paraId="4B3C50A9" w14:textId="0B557CDB" w:rsidR="007E6564" w:rsidRPr="004C21F4" w:rsidRDefault="007E6564"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t xml:space="preserve">Regarding the identification of Mononychellus tanajoa, external morphological identification is essential, but molecular identification is also important. The morphological identification may be difficult due to the large number of closely related species. In this regard, it will be better to add new section regarding genetic information of close species after the Section 4.6.2.4 “Sequence edition and analyses” in order to provide more useful information for identification. </w:t>
            </w:r>
          </w:p>
        </w:tc>
        <w:tc>
          <w:tcPr>
            <w:tcW w:w="1239" w:type="pct"/>
          </w:tcPr>
          <w:p w14:paraId="63EF36CA" w14:textId="77777777" w:rsidR="007E6564" w:rsidRPr="004C21F4" w:rsidRDefault="007E6564"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color w:val="000000" w:themeColor="text1"/>
                <w:sz w:val="18"/>
                <w:szCs w:val="18"/>
                <w:highlight w:val="yellow"/>
              </w:rPr>
              <w:t>For authors consideration</w:t>
            </w:r>
            <w:r w:rsidRPr="004C21F4">
              <w:rPr>
                <w:rFonts w:asciiTheme="minorHAnsi" w:hAnsiTheme="minorHAnsi" w:cstheme="minorHAnsi"/>
                <w:color w:val="000000" w:themeColor="text1"/>
                <w:sz w:val="18"/>
                <w:szCs w:val="18"/>
              </w:rPr>
              <w:t xml:space="preserve"> </w:t>
            </w:r>
          </w:p>
        </w:tc>
      </w:tr>
      <w:tr w:rsidR="00576EA8" w:rsidRPr="004C21F4" w14:paraId="69D2774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CFD5A63"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39</w:t>
            </w:r>
          </w:p>
        </w:tc>
        <w:tc>
          <w:tcPr>
            <w:tcW w:w="1620" w:type="pct"/>
          </w:tcPr>
          <w:p w14:paraId="5E815C6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The mite has also been on the A2</w:t>
            </w:r>
            <w:r w:rsidRPr="004C21F4">
              <w:rPr>
                <w:rFonts w:asciiTheme="minorHAnsi" w:hAnsiTheme="minorHAnsi" w:cstheme="minorHAnsi"/>
                <w:sz w:val="18"/>
                <w:szCs w:val="18"/>
                <w:vertAlign w:val="superscript"/>
              </w:rPr>
              <w:t>2</w:t>
            </w:r>
            <w:r w:rsidRPr="004C21F4">
              <w:rPr>
                <w:rFonts w:asciiTheme="minorHAnsi" w:hAnsiTheme="minorHAnsi" w:cstheme="minorHAnsi"/>
                <w:sz w:val="18"/>
                <w:szCs w:val="18"/>
              </w:rPr>
              <w:t xml:space="preserve"> list of pests of East Africa and Southern Africa since 2001 and China </w:t>
            </w:r>
            <w:r w:rsidRPr="004C21F4">
              <w:rPr>
                <w:rFonts w:asciiTheme="minorHAnsi" w:hAnsiTheme="minorHAnsi" w:cstheme="minorHAnsi"/>
                <w:strike/>
                <w:color w:val="4B0082"/>
                <w:sz w:val="18"/>
                <w:szCs w:val="18"/>
              </w:rPr>
              <w:t xml:space="preserve">since </w:t>
            </w:r>
            <w:r w:rsidRPr="004C21F4">
              <w:rPr>
                <w:rFonts w:asciiTheme="minorHAnsi" w:hAnsiTheme="minorHAnsi" w:cstheme="minorHAnsi"/>
                <w:color w:val="4B0082"/>
                <w:sz w:val="18"/>
                <w:szCs w:val="18"/>
                <w:u w:val="single"/>
              </w:rPr>
              <w:t xml:space="preserve">from </w:t>
            </w:r>
            <w:r w:rsidRPr="004C21F4">
              <w:rPr>
                <w:rFonts w:asciiTheme="minorHAnsi" w:hAnsiTheme="minorHAnsi" w:cstheme="minorHAnsi"/>
                <w:sz w:val="18"/>
                <w:szCs w:val="18"/>
              </w:rPr>
              <w:t xml:space="preserve">1992 </w:t>
            </w:r>
            <w:r w:rsidRPr="004C21F4">
              <w:rPr>
                <w:rFonts w:asciiTheme="minorHAnsi" w:hAnsiTheme="minorHAnsi" w:cstheme="minorHAnsi"/>
                <w:color w:val="4B0082"/>
                <w:sz w:val="18"/>
                <w:szCs w:val="18"/>
                <w:u w:val="single"/>
              </w:rPr>
              <w:t xml:space="preserve">to 2007 </w:t>
            </w:r>
            <w:r w:rsidRPr="004C21F4">
              <w:rPr>
                <w:rFonts w:asciiTheme="minorHAnsi" w:hAnsiTheme="minorHAnsi" w:cstheme="minorHAnsi"/>
                <w:sz w:val="18"/>
                <w:szCs w:val="18"/>
              </w:rPr>
              <w:t xml:space="preserve">and has been a quarantine pest in the United States of America since 1989 (EPPO, 2020). </w:t>
            </w:r>
          </w:p>
        </w:tc>
        <w:tc>
          <w:tcPr>
            <w:tcW w:w="1667" w:type="pct"/>
          </w:tcPr>
          <w:p w14:paraId="23C2F6D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The current List of imported plant quarantine pests of the People's Republic of China released in 2007 does not include Mononychellus tanajoa</w:t>
            </w:r>
          </w:p>
        </w:tc>
        <w:tc>
          <w:tcPr>
            <w:tcW w:w="1239" w:type="pct"/>
          </w:tcPr>
          <w:p w14:paraId="0983A57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p w14:paraId="1A708607"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576EA8" w:rsidRPr="004C21F4" w14:paraId="419C03E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D69E9E3" w14:textId="49C6856C" w:rsidR="006C5445" w:rsidRPr="004C21F4" w:rsidRDefault="000627B7"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42</w:t>
            </w:r>
          </w:p>
        </w:tc>
        <w:tc>
          <w:tcPr>
            <w:tcW w:w="1620" w:type="pct"/>
          </w:tcPr>
          <w:p w14:paraId="233E815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This mite is mainly a pest of cultivated </w:t>
            </w:r>
            <w:r w:rsidRPr="004C21F4">
              <w:rPr>
                <w:rFonts w:asciiTheme="minorHAnsi" w:hAnsiTheme="minorHAnsi" w:cstheme="minorHAnsi"/>
                <w:i/>
                <w:sz w:val="18"/>
                <w:szCs w:val="18"/>
                <w:highlight w:val="cyan"/>
              </w:rPr>
              <w:t>M. esculenta</w:t>
            </w:r>
            <w:r w:rsidRPr="004C21F4">
              <w:rPr>
                <w:rFonts w:asciiTheme="minorHAnsi" w:hAnsiTheme="minorHAnsi" w:cstheme="minorHAnsi"/>
                <w:sz w:val="18"/>
                <w:szCs w:val="18"/>
                <w:highlight w:val="cyan"/>
              </w:rPr>
              <w:t>, although has also been recorded on other</w:t>
            </w:r>
            <w:r w:rsidRPr="004C21F4">
              <w:rPr>
                <w:rFonts w:asciiTheme="minorHAnsi" w:hAnsiTheme="minorHAnsi" w:cstheme="minorHAnsi"/>
                <w:i/>
                <w:sz w:val="18"/>
                <w:szCs w:val="18"/>
                <w:highlight w:val="cyan"/>
              </w:rPr>
              <w:t xml:space="preserve"> Manihot</w:t>
            </w:r>
            <w:r w:rsidRPr="004C21F4">
              <w:rPr>
                <w:rFonts w:asciiTheme="minorHAnsi" w:hAnsiTheme="minorHAnsi" w:cstheme="minorHAnsi"/>
                <w:sz w:val="18"/>
                <w:szCs w:val="18"/>
                <w:highlight w:val="cyan"/>
              </w:rPr>
              <w:t xml:space="preserve"> species (Bondar, 1938; Flechtmann and Baker, 1970). </w:t>
            </w:r>
          </w:p>
        </w:tc>
        <w:tc>
          <w:tcPr>
            <w:tcW w:w="1667" w:type="pct"/>
          </w:tcPr>
          <w:p w14:paraId="2FF55C5F" w14:textId="1EBF9570"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EDITORIAL </w:t>
            </w:r>
            <w:r w:rsidRPr="004C21F4">
              <w:rPr>
                <w:rFonts w:asciiTheme="minorHAnsi" w:hAnsiTheme="minorHAnsi" w:cstheme="minorHAnsi"/>
                <w:sz w:val="18"/>
                <w:szCs w:val="18"/>
              </w:rPr>
              <w:br/>
            </w:r>
            <w:r w:rsidRPr="004C21F4">
              <w:rPr>
                <w:rFonts w:asciiTheme="minorHAnsi" w:hAnsiTheme="minorHAnsi" w:cstheme="minorHAnsi"/>
                <w:sz w:val="18"/>
                <w:szCs w:val="18"/>
              </w:rPr>
              <w:br/>
              <w:t>List the host, distribution in a list or table. For easy enquiry</w:t>
            </w:r>
          </w:p>
        </w:tc>
        <w:tc>
          <w:tcPr>
            <w:tcW w:w="1239" w:type="pct"/>
          </w:tcPr>
          <w:p w14:paraId="72E579F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highlight w:val="cyan"/>
              </w:rPr>
              <w:t>For consideration by the TPDP</w:t>
            </w:r>
          </w:p>
          <w:p w14:paraId="688496D9"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tc>
      </w:tr>
      <w:tr w:rsidR="00576EA8" w:rsidRPr="004C21F4" w14:paraId="5AE86639"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94FC064"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44</w:t>
            </w:r>
          </w:p>
        </w:tc>
        <w:tc>
          <w:tcPr>
            <w:tcW w:w="1620" w:type="pct"/>
          </w:tcPr>
          <w:p w14:paraId="23948AA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This species overwinters </w:t>
            </w:r>
            <w:r w:rsidRPr="004C21F4">
              <w:rPr>
                <w:rFonts w:asciiTheme="minorHAnsi" w:hAnsiTheme="minorHAnsi" w:cstheme="minorHAnsi"/>
                <w:strike/>
                <w:color w:val="FF00FF"/>
                <w:sz w:val="18"/>
                <w:szCs w:val="18"/>
              </w:rPr>
              <w:t xml:space="preserve">in temperate climates </w:t>
            </w:r>
            <w:r w:rsidRPr="004C21F4">
              <w:rPr>
                <w:rFonts w:asciiTheme="minorHAnsi" w:hAnsiTheme="minorHAnsi" w:cstheme="minorHAnsi"/>
                <w:sz w:val="18"/>
                <w:szCs w:val="18"/>
              </w:rPr>
              <w:t xml:space="preserve">as eggs or adult females. </w:t>
            </w:r>
          </w:p>
        </w:tc>
        <w:tc>
          <w:tcPr>
            <w:tcW w:w="1667" w:type="pct"/>
          </w:tcPr>
          <w:p w14:paraId="1497153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This reference to tempetare climate is not understood. What is the reference? Is this species not only present in tropical and substropical regions.</w:t>
            </w:r>
          </w:p>
        </w:tc>
        <w:tc>
          <w:tcPr>
            <w:tcW w:w="1239" w:type="pct"/>
          </w:tcPr>
          <w:p w14:paraId="0315807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p w14:paraId="6AEE833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B2CA5FB" w14:textId="09CAC216"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CABI data sheet indicates that the mite tolerates warm temperate climates with dry summers. Will check with the Authors </w:t>
            </w:r>
          </w:p>
        </w:tc>
      </w:tr>
      <w:tr w:rsidR="000627B7" w:rsidRPr="004C21F4" w14:paraId="236664CF" w14:textId="77777777" w:rsidTr="000627B7">
        <w:tc>
          <w:tcPr>
            <w:cnfStyle w:val="001000000000" w:firstRow="0" w:lastRow="0" w:firstColumn="1" w:lastColumn="0" w:oddVBand="0" w:evenVBand="0" w:oddHBand="0" w:evenHBand="0" w:firstRowFirstColumn="0" w:firstRowLastColumn="0" w:lastRowFirstColumn="0" w:lastRowLastColumn="0"/>
            <w:tcW w:w="474" w:type="pct"/>
          </w:tcPr>
          <w:p w14:paraId="20A682F5" w14:textId="77777777" w:rsidR="000627B7" w:rsidRPr="004C21F4" w:rsidRDefault="000627B7"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48</w:t>
            </w:r>
          </w:p>
        </w:tc>
        <w:tc>
          <w:tcPr>
            <w:tcW w:w="3287" w:type="pct"/>
            <w:gridSpan w:val="2"/>
          </w:tcPr>
          <w:p w14:paraId="154CE381" w14:textId="77777777" w:rsidR="000627B7" w:rsidRPr="004C21F4" w:rsidRDefault="000627B7" w:rsidP="0054726C">
            <w:pPr>
              <w:pStyle w:val="IPPParagraphnumbering1188"/>
              <w:tabs>
                <w:tab w:val="clear" w:pos="72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4C21F4">
              <w:rPr>
                <w:rFonts w:asciiTheme="minorHAnsi" w:hAnsiTheme="minorHAnsi" w:cstheme="minorHAnsi"/>
                <w:b/>
                <w:bCs/>
                <w:sz w:val="18"/>
                <w:szCs w:val="18"/>
                <w:lang w:val="en-GB"/>
              </w:rPr>
              <w:t xml:space="preserve">Synonyms: </w:t>
            </w:r>
            <w:proofErr w:type="spellStart"/>
            <w:r w:rsidRPr="004C21F4">
              <w:rPr>
                <w:rFonts w:asciiTheme="minorHAnsi" w:hAnsiTheme="minorHAnsi" w:cstheme="minorHAnsi"/>
                <w:i/>
                <w:sz w:val="18"/>
                <w:szCs w:val="18"/>
                <w:lang w:val="en-GB"/>
              </w:rPr>
              <w:t>Eotetranychus</w:t>
            </w:r>
            <w:proofErr w:type="spellEnd"/>
            <w:r w:rsidRPr="004C21F4">
              <w:rPr>
                <w:rFonts w:asciiTheme="minorHAnsi" w:hAnsiTheme="minorHAnsi" w:cstheme="minorHAnsi"/>
                <w:i/>
                <w:sz w:val="18"/>
                <w:szCs w:val="18"/>
                <w:lang w:val="en-GB"/>
              </w:rPr>
              <w:t xml:space="preserve"> </w:t>
            </w:r>
            <w:proofErr w:type="spellStart"/>
            <w:r w:rsidRPr="004C21F4">
              <w:rPr>
                <w:rFonts w:asciiTheme="minorHAnsi" w:hAnsiTheme="minorHAnsi" w:cstheme="minorHAnsi"/>
                <w:i/>
                <w:sz w:val="18"/>
                <w:szCs w:val="18"/>
                <w:lang w:val="en-GB"/>
              </w:rPr>
              <w:t>estradai</w:t>
            </w:r>
            <w:proofErr w:type="spellEnd"/>
            <w:r w:rsidRPr="004C21F4">
              <w:rPr>
                <w:rFonts w:asciiTheme="minorHAnsi" w:hAnsiTheme="minorHAnsi" w:cstheme="minorHAnsi"/>
                <w:sz w:val="18"/>
                <w:szCs w:val="18"/>
                <w:lang w:val="en-GB"/>
              </w:rPr>
              <w:t xml:space="preserve"> Baker and Pritchard, 1962</w:t>
            </w:r>
          </w:p>
          <w:p w14:paraId="63C66ED9" w14:textId="36206EF1" w:rsidR="000627B7" w:rsidRPr="004C21F4" w:rsidRDefault="000627B7"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In zoology, an alternative generic combination is not a</w:t>
            </w:r>
            <w:r w:rsidRPr="004C21F4">
              <w:rPr>
                <w:rFonts w:asciiTheme="minorHAnsi" w:hAnsiTheme="minorHAnsi" w:cstheme="minorHAnsi"/>
                <w:sz w:val="18"/>
                <w:szCs w:val="18"/>
              </w:rPr>
              <w:br/>
            </w:r>
            <w:r w:rsidRPr="004C21F4">
              <w:rPr>
                <w:rFonts w:asciiTheme="minorHAnsi" w:hAnsiTheme="minorHAnsi" w:cstheme="minorHAnsi"/>
                <w:sz w:val="18"/>
                <w:szCs w:val="18"/>
              </w:rPr>
              <w:lastRenderedPageBreak/>
              <w:t>synonym. A synonym is a name published with a separate type that is subsequently considered to refer to the same entity as another published name at the same rank. Moving a species from one genus to another is a taxonomic choice that does not bear on typification. In this case, Eotetranychius estradai is a synonym, but Tetranychus tanajoa is, technically, the “original combination” and Mononychus tanajoa is an “alternative combination”. A more general way to refer to both synonyms and alternative generic combinations is as “other names”.</w:t>
            </w:r>
          </w:p>
        </w:tc>
        <w:tc>
          <w:tcPr>
            <w:tcW w:w="1239" w:type="pct"/>
          </w:tcPr>
          <w:p w14:paraId="4E9774BD" w14:textId="77777777" w:rsidR="000627B7" w:rsidRPr="004C21F4" w:rsidRDefault="000627B7"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highlight w:val="cyan"/>
              </w:rPr>
            </w:pPr>
            <w:r w:rsidRPr="004C21F4">
              <w:rPr>
                <w:rFonts w:asciiTheme="minorHAnsi" w:hAnsiTheme="minorHAnsi" w:cstheme="minorHAnsi"/>
                <w:sz w:val="18"/>
                <w:szCs w:val="18"/>
                <w:highlight w:val="cyan"/>
              </w:rPr>
              <w:lastRenderedPageBreak/>
              <w:br/>
            </w:r>
            <w:r w:rsidRPr="004C21F4">
              <w:rPr>
                <w:rFonts w:asciiTheme="minorHAnsi" w:hAnsiTheme="minorHAnsi" w:cstheme="minorHAnsi"/>
                <w:b/>
                <w:bCs/>
                <w:sz w:val="18"/>
                <w:szCs w:val="18"/>
                <w:highlight w:val="cyan"/>
              </w:rPr>
              <w:t xml:space="preserve">For TPDP consideration </w:t>
            </w:r>
          </w:p>
        </w:tc>
      </w:tr>
      <w:tr w:rsidR="00576EA8" w:rsidRPr="004C21F4" w14:paraId="4A735AEB"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A360D20"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57</w:t>
            </w:r>
          </w:p>
        </w:tc>
        <w:tc>
          <w:tcPr>
            <w:tcW w:w="1620" w:type="pct"/>
          </w:tcPr>
          <w:p w14:paraId="76A259B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 xml:space="preserve">Adult females and males are used for identification with dichotomous keys </w:t>
            </w:r>
            <w:r w:rsidRPr="004C21F4">
              <w:rPr>
                <w:rFonts w:asciiTheme="minorHAnsi" w:hAnsiTheme="minorHAnsi" w:cstheme="minorHAnsi"/>
                <w:sz w:val="18"/>
                <w:szCs w:val="18"/>
              </w:rPr>
              <w:t>(Flechtmann and de Queiroz, 2015). </w:t>
            </w:r>
          </w:p>
        </w:tc>
        <w:tc>
          <w:tcPr>
            <w:tcW w:w="1667" w:type="pct"/>
          </w:tcPr>
          <w:p w14:paraId="4D59B50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 xml:space="preserve"> It's not clear whether the species can be identified from an adult female or an adult male using the key or whether you need both of them. </w:t>
            </w:r>
            <w:r w:rsidRPr="004C21F4">
              <w:rPr>
                <w:rFonts w:asciiTheme="minorHAnsi" w:hAnsiTheme="minorHAnsi" w:cstheme="minorHAnsi"/>
                <w:sz w:val="18"/>
                <w:szCs w:val="18"/>
              </w:rPr>
              <w:br/>
              <w:t xml:space="preserve"> perhaps "“Adult females and males can be identified with dichotomous keys"</w:t>
            </w:r>
          </w:p>
        </w:tc>
        <w:tc>
          <w:tcPr>
            <w:tcW w:w="1239" w:type="pct"/>
          </w:tcPr>
          <w:p w14:paraId="21762F06" w14:textId="6589C371"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b/>
                <w:bCs/>
                <w:sz w:val="18"/>
                <w:szCs w:val="18"/>
              </w:rPr>
              <w:t>Modified</w:t>
            </w:r>
          </w:p>
          <w:p w14:paraId="4DF6B87E" w14:textId="428476B2"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t>Adult females and males are needed for identification with dichotomous keys"</w:t>
            </w:r>
          </w:p>
          <w:p w14:paraId="0D10A64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2C77F8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To make it clear that both adult males and females should be collected as  both are needed for the keys </w:t>
            </w:r>
          </w:p>
        </w:tc>
      </w:tr>
      <w:tr w:rsidR="00576EA8" w:rsidRPr="004C21F4" w14:paraId="7DA6263A"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8F495E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63</w:t>
            </w:r>
          </w:p>
        </w:tc>
        <w:tc>
          <w:tcPr>
            <w:tcW w:w="1620" w:type="pct"/>
          </w:tcPr>
          <w:p w14:paraId="4A2762A9"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trike/>
                <w:color w:val="4B0082"/>
                <w:sz w:val="18"/>
                <w:szCs w:val="18"/>
              </w:rPr>
              <w:t xml:space="preserve">Keys for the </w:t>
            </w:r>
            <w:r w:rsidRPr="004C21F4">
              <w:rPr>
                <w:rFonts w:asciiTheme="minorHAnsi" w:hAnsiTheme="minorHAnsi" w:cstheme="minorHAnsi"/>
                <w:color w:val="4B0082"/>
                <w:sz w:val="18"/>
                <w:szCs w:val="18"/>
                <w:u w:val="single"/>
              </w:rPr>
              <w:t xml:space="preserve">The </w:t>
            </w:r>
            <w:r w:rsidRPr="004C21F4">
              <w:rPr>
                <w:rFonts w:asciiTheme="minorHAnsi" w:hAnsiTheme="minorHAnsi" w:cstheme="minorHAnsi"/>
                <w:sz w:val="18"/>
                <w:szCs w:val="18"/>
              </w:rPr>
              <w:t xml:space="preserve">morphological identification of immature stages of </w:t>
            </w:r>
            <w:r w:rsidRPr="004C21F4">
              <w:rPr>
                <w:rFonts w:asciiTheme="minorHAnsi" w:hAnsiTheme="minorHAnsi" w:cstheme="minorHAnsi"/>
                <w:i/>
                <w:sz w:val="18"/>
                <w:szCs w:val="18"/>
              </w:rPr>
              <w:t>Mononychellus</w:t>
            </w:r>
            <w:r w:rsidRPr="004C21F4">
              <w:rPr>
                <w:rFonts w:asciiTheme="minorHAnsi" w:hAnsiTheme="minorHAnsi" w:cstheme="minorHAnsi"/>
                <w:sz w:val="18"/>
                <w:szCs w:val="18"/>
              </w:rPr>
              <w:t xml:space="preserve"> are not available.</w:t>
            </w:r>
          </w:p>
        </w:tc>
        <w:tc>
          <w:tcPr>
            <w:tcW w:w="1667" w:type="pct"/>
          </w:tcPr>
          <w:p w14:paraId="6400B98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r>
          </w:p>
        </w:tc>
        <w:tc>
          <w:tcPr>
            <w:tcW w:w="1239" w:type="pct"/>
          </w:tcPr>
          <w:p w14:paraId="0ADA1224" w14:textId="711BA10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b/>
                <w:bCs/>
                <w:sz w:val="18"/>
                <w:szCs w:val="18"/>
              </w:rPr>
              <w:t xml:space="preserve">Considered but not incorporated. </w:t>
            </w:r>
          </w:p>
          <w:p w14:paraId="6AF694F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0BEAAA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The intention is to indicate that Key are not available  </w:t>
            </w:r>
          </w:p>
        </w:tc>
      </w:tr>
      <w:tr w:rsidR="00576EA8" w:rsidRPr="004C21F4" w14:paraId="4313167A"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6A15838B"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66</w:t>
            </w:r>
          </w:p>
        </w:tc>
        <w:tc>
          <w:tcPr>
            <w:tcW w:w="1620" w:type="pct"/>
          </w:tcPr>
          <w:p w14:paraId="56644AB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The clearing For long-term storage, specimens mounted in Hoyer’s medium on microscope slides should be sealed with a sealant. (i.e., Glyptal</w:t>
            </w:r>
            <w:r w:rsidRPr="004C21F4">
              <w:rPr>
                <w:rFonts w:asciiTheme="minorHAnsi" w:hAnsiTheme="minorHAnsi" w:cstheme="minorHAnsi"/>
                <w:sz w:val="18"/>
                <w:szCs w:val="18"/>
                <w:vertAlign w:val="superscript"/>
              </w:rPr>
              <w:t>3</w:t>
            </w:r>
            <w:r w:rsidRPr="004C21F4">
              <w:rPr>
                <w:rFonts w:asciiTheme="minorHAnsi" w:hAnsiTheme="minorHAnsi" w:cstheme="minorHAnsi"/>
                <w:sz w:val="18"/>
                <w:szCs w:val="18"/>
              </w:rPr>
              <w:t> </w:t>
            </w:r>
            <w:r w:rsidRPr="004C21F4">
              <w:rPr>
                <w:rFonts w:asciiTheme="minorHAnsi" w:hAnsiTheme="minorHAnsi" w:cstheme="minorHAnsi"/>
                <w:sz w:val="18"/>
                <w:szCs w:val="18"/>
                <w:highlight w:val="cyan"/>
              </w:rPr>
              <w:t>Glyceel</w:t>
            </w:r>
            <w:r w:rsidRPr="004C21F4">
              <w:rPr>
                <w:rFonts w:asciiTheme="minorHAnsi" w:hAnsiTheme="minorHAnsi" w:cstheme="minorHAnsi"/>
                <w:sz w:val="18"/>
                <w:szCs w:val="18"/>
              </w:rPr>
              <w:t xml:space="preserve"> or Euparol). </w:t>
            </w:r>
          </w:p>
        </w:tc>
        <w:tc>
          <w:tcPr>
            <w:tcW w:w="1667" w:type="pct"/>
          </w:tcPr>
          <w:p w14:paraId="6093BC9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should check the availability of this product. Internet search shows this product no longer exists, and manufacture stopped in the 1980s. Glyptal is a brand of paints and sealers in general, not a specific sealant.</w:t>
            </w:r>
          </w:p>
        </w:tc>
        <w:tc>
          <w:tcPr>
            <w:tcW w:w="1239" w:type="pct"/>
          </w:tcPr>
          <w:p w14:paraId="1EB74387"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p w14:paraId="77A654E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Glyceel removed. Glyptal electrical insulating sealant mention specifically </w:t>
            </w:r>
          </w:p>
        </w:tc>
      </w:tr>
      <w:tr w:rsidR="00576EA8" w:rsidRPr="004C21F4" w14:paraId="4F55C70A"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4E521EF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66</w:t>
            </w:r>
          </w:p>
        </w:tc>
        <w:tc>
          <w:tcPr>
            <w:tcW w:w="1620" w:type="pct"/>
          </w:tcPr>
          <w:p w14:paraId="3F7A98A3"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Mites need to be cleared for morphological examination. Clearing can be accomplished with </w:t>
            </w:r>
            <w:r w:rsidRPr="004C21F4">
              <w:rPr>
                <w:rFonts w:asciiTheme="minorHAnsi" w:hAnsiTheme="minorHAnsi" w:cstheme="minorHAnsi"/>
                <w:strike/>
                <w:color w:val="FF00FF"/>
                <w:sz w:val="18"/>
                <w:szCs w:val="18"/>
              </w:rPr>
              <w:t xml:space="preserve">85–92% </w:t>
            </w:r>
            <w:r w:rsidRPr="004C21F4">
              <w:rPr>
                <w:rFonts w:asciiTheme="minorHAnsi" w:hAnsiTheme="minorHAnsi" w:cstheme="minorHAnsi"/>
                <w:color w:val="FF00FF"/>
                <w:sz w:val="18"/>
                <w:szCs w:val="18"/>
                <w:u w:val="single"/>
              </w:rPr>
              <w:t xml:space="preserve">60 a 95% </w:t>
            </w:r>
            <w:r w:rsidRPr="004C21F4">
              <w:rPr>
                <w:rFonts w:asciiTheme="minorHAnsi" w:hAnsiTheme="minorHAnsi" w:cstheme="minorHAnsi"/>
                <w:sz w:val="18"/>
                <w:szCs w:val="18"/>
              </w:rPr>
              <w:t xml:space="preserve">lactic acid </w:t>
            </w:r>
          </w:p>
          <w:p w14:paraId="5D3E73D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3FEDE12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Slides are then labelled with the collection data (i.e., an accession number, locality, host, collector, and collection date) and then put on a hot plate at </w:t>
            </w:r>
            <w:r w:rsidRPr="004C21F4">
              <w:rPr>
                <w:rFonts w:asciiTheme="minorHAnsi" w:hAnsiTheme="minorHAnsi" w:cstheme="minorHAnsi"/>
                <w:strike/>
                <w:color w:val="FF00FF"/>
                <w:sz w:val="18"/>
                <w:szCs w:val="18"/>
              </w:rPr>
              <w:t>70 </w:t>
            </w:r>
            <w:r w:rsidRPr="004C21F4">
              <w:rPr>
                <w:rFonts w:asciiTheme="minorHAnsi" w:hAnsiTheme="minorHAnsi" w:cstheme="minorHAnsi"/>
                <w:color w:val="FF00FF"/>
                <w:sz w:val="18"/>
                <w:szCs w:val="18"/>
                <w:u w:val="single"/>
              </w:rPr>
              <w:t xml:space="preserve">40-45 </w:t>
            </w:r>
            <w:r w:rsidRPr="004C21F4">
              <w:rPr>
                <w:rFonts w:asciiTheme="minorHAnsi" w:hAnsiTheme="minorHAnsi" w:cstheme="minorHAnsi"/>
                <w:sz w:val="18"/>
                <w:szCs w:val="18"/>
              </w:rPr>
              <w:t xml:space="preserve">°C for at least 20 minutes before identification. </w:t>
            </w:r>
          </w:p>
        </w:tc>
        <w:tc>
          <w:tcPr>
            <w:tcW w:w="1667" w:type="pct"/>
          </w:tcPr>
          <w:p w14:paraId="23E3994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i/>
                <w:sz w:val="18"/>
                <w:szCs w:val="18"/>
                <w:lang w:val="es-419"/>
              </w:rPr>
              <w:t>Category : TECHNICAL </w:t>
            </w:r>
          </w:p>
          <w:p w14:paraId="6D7BA87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p>
          <w:p w14:paraId="3BFA79C7" w14:textId="77777777" w:rsidR="006C5445" w:rsidRPr="004C21F4" w:rsidRDefault="006C5445" w:rsidP="006C5445">
            <w:pPr>
              <w:pStyle w:val="PleaseReviewReport"/>
              <w:numPr>
                <w:ilvl w:val="0"/>
                <w:numId w:val="1"/>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lang w:val="es-419"/>
              </w:rPr>
            </w:pPr>
            <w:r w:rsidRPr="004C21F4">
              <w:rPr>
                <w:rFonts w:asciiTheme="minorHAnsi" w:hAnsiTheme="minorHAnsi" w:cstheme="minorHAnsi"/>
                <w:color w:val="0070C0"/>
                <w:sz w:val="18"/>
                <w:szCs w:val="18"/>
              </w:rPr>
              <w:t xml:space="preserve">Krant &amp; Walter (2009) suggest that the concentration of the aqueous solution of lactic acid be between 60 and 95%, a proportion different from that indicated in the protocol (85-92%). </w:t>
            </w:r>
          </w:p>
          <w:p w14:paraId="131EA914" w14:textId="77777777" w:rsidR="006C5445" w:rsidRPr="004C21F4" w:rsidRDefault="006C5445" w:rsidP="006C5445">
            <w:pPr>
              <w:pStyle w:val="PleaseReviewReport"/>
              <w:numPr>
                <w:ilvl w:val="0"/>
                <w:numId w:val="1"/>
              </w:num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lang w:val="es-419"/>
              </w:rPr>
            </w:pPr>
            <w:r w:rsidRPr="004C21F4">
              <w:rPr>
                <w:rFonts w:asciiTheme="minorHAnsi" w:hAnsiTheme="minorHAnsi" w:cstheme="minorHAnsi"/>
                <w:color w:val="0070C0"/>
                <w:sz w:val="18"/>
                <w:szCs w:val="18"/>
              </w:rPr>
              <w:t>In addition, these authors point out that it should be placed in an oven, thermal plate or bain-marie at 45°C to accelerate maceration, which is not indicated in the protocol</w:t>
            </w:r>
          </w:p>
          <w:p w14:paraId="015D02F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sz w:val="18"/>
                <w:szCs w:val="18"/>
                <w:lang w:val="es-419"/>
              </w:rPr>
            </w:pPr>
          </w:p>
          <w:p w14:paraId="684826C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color w:val="0070C0"/>
                <w:sz w:val="18"/>
                <w:szCs w:val="18"/>
                <w:lang w:val="es-419"/>
              </w:rPr>
              <w:t>According to the authors and experience in the SAG laboratory, with this time and temperature, the sample would deteriorate, so it is suggested to heat it at 40-45 °C during this time to allow drying and not affect the sample</w:t>
            </w:r>
            <w:r w:rsidRPr="004C21F4">
              <w:rPr>
                <w:rFonts w:asciiTheme="minorHAnsi" w:hAnsiTheme="minorHAnsi" w:cstheme="minorHAnsi"/>
                <w:color w:val="252525"/>
                <w:sz w:val="18"/>
                <w:szCs w:val="18"/>
              </w:rPr>
              <w:t>.</w:t>
            </w:r>
          </w:p>
        </w:tc>
        <w:tc>
          <w:tcPr>
            <w:tcW w:w="1239" w:type="pct"/>
          </w:tcPr>
          <w:p w14:paraId="307FD907" w14:textId="35699C44"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r w:rsidRPr="004C21F4">
              <w:rPr>
                <w:rFonts w:asciiTheme="minorHAnsi" w:hAnsiTheme="minorHAnsi" w:cstheme="minorHAnsi"/>
                <w:b/>
                <w:bCs/>
                <w:sz w:val="18"/>
                <w:szCs w:val="18"/>
                <w:lang w:val="es-419"/>
              </w:rPr>
              <w:t xml:space="preserve">1. Incorporated </w:t>
            </w:r>
          </w:p>
          <w:p w14:paraId="33B5C127"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p>
          <w:p w14:paraId="5EBFC65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4C21F4">
              <w:rPr>
                <w:rFonts w:asciiTheme="minorHAnsi" w:hAnsiTheme="minorHAnsi" w:cstheme="minorHAnsi"/>
                <w:sz w:val="18"/>
                <w:szCs w:val="18"/>
                <w:lang w:val="es-419"/>
              </w:rPr>
              <w:t xml:space="preserve">85-92% lactic acid is used for preparing </w:t>
            </w:r>
            <w:r w:rsidRPr="004C21F4">
              <w:rPr>
                <w:rFonts w:asciiTheme="minorHAnsi" w:hAnsiTheme="minorHAnsi" w:cstheme="minorHAnsi"/>
                <w:noProof w:val="0"/>
                <w:sz w:val="18"/>
                <w:szCs w:val="18"/>
                <w:lang w:val="en-GB"/>
              </w:rPr>
              <w:t>Heinze</w:t>
            </w:r>
            <w:r w:rsidRPr="004C21F4">
              <w:rPr>
                <w:rFonts w:asciiTheme="minorHAnsi" w:hAnsiTheme="minorHAnsi" w:cstheme="minorHAnsi"/>
                <w:sz w:val="18"/>
                <w:szCs w:val="18"/>
                <w:lang w:val="en-GB"/>
              </w:rPr>
              <w:t xml:space="preserve">-PVA medium. </w:t>
            </w:r>
          </w:p>
          <w:p w14:paraId="7E27E06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5AD8942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sz w:val="18"/>
                <w:szCs w:val="18"/>
              </w:rPr>
              <w:t>2. 45°C to accelerate maceration is optional and depends on time available. Maybe we can include by indicating such</w:t>
            </w:r>
          </w:p>
          <w:p w14:paraId="41B77F3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p>
          <w:p w14:paraId="3797666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sz w:val="18"/>
                <w:szCs w:val="18"/>
                <w:lang w:val="es-419"/>
              </w:rPr>
              <w:t xml:space="preserve">DP mentioned that </w:t>
            </w:r>
          </w:p>
          <w:p w14:paraId="46402A9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r w:rsidRPr="004C21F4">
              <w:rPr>
                <w:rFonts w:asciiTheme="minorHAnsi" w:hAnsiTheme="minorHAnsi" w:cstheme="minorHAnsi"/>
                <w:sz w:val="18"/>
                <w:szCs w:val="18"/>
                <w:lang w:val="es-419"/>
              </w:rPr>
              <w:t>the identified specimens are placed in an oven at 45–50°C for a few weeks until the medium is dry.</w:t>
            </w:r>
          </w:p>
          <w:p w14:paraId="26AF1DBA"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lang w:val="es-419"/>
              </w:rPr>
            </w:pPr>
          </w:p>
          <w:p w14:paraId="271442D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s-419"/>
              </w:rPr>
            </w:pPr>
            <w:r w:rsidRPr="004C21F4">
              <w:rPr>
                <w:rFonts w:asciiTheme="minorHAnsi" w:hAnsiTheme="minorHAnsi" w:cstheme="minorHAnsi"/>
                <w:sz w:val="18"/>
                <w:szCs w:val="18"/>
                <w:highlight w:val="yellow"/>
                <w:lang w:val="es-419"/>
              </w:rPr>
              <w:t>For Author consideration</w:t>
            </w:r>
          </w:p>
        </w:tc>
      </w:tr>
      <w:tr w:rsidR="00576EA8" w:rsidRPr="004C21F4" w14:paraId="797F833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8C1B1A9"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66</w:t>
            </w:r>
          </w:p>
        </w:tc>
        <w:tc>
          <w:tcPr>
            <w:tcW w:w="1620" w:type="pct"/>
          </w:tcPr>
          <w:p w14:paraId="29C970DF"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For long-term storage, specimens mounted in Hoyer’s medium on microscope slides should be sealed with a sealant. (i.e., Glyptal</w:t>
            </w:r>
            <w:r w:rsidRPr="004C21F4">
              <w:rPr>
                <w:rFonts w:asciiTheme="minorHAnsi" w:hAnsiTheme="minorHAnsi" w:cstheme="minorHAnsi"/>
                <w:sz w:val="18"/>
                <w:szCs w:val="18"/>
                <w:vertAlign w:val="superscript"/>
              </w:rPr>
              <w:t>3</w:t>
            </w:r>
            <w:r w:rsidRPr="004C21F4">
              <w:rPr>
                <w:rFonts w:asciiTheme="minorHAnsi" w:hAnsiTheme="minorHAnsi" w:cstheme="minorHAnsi"/>
                <w:sz w:val="18"/>
                <w:szCs w:val="18"/>
              </w:rPr>
              <w:t xml:space="preserve"> Glyceel </w:t>
            </w:r>
            <w:r w:rsidRPr="004C21F4">
              <w:rPr>
                <w:rFonts w:asciiTheme="minorHAnsi" w:hAnsiTheme="minorHAnsi" w:cstheme="minorHAnsi"/>
                <w:color w:val="800000"/>
                <w:sz w:val="18"/>
                <w:szCs w:val="18"/>
                <w:u w:val="single"/>
              </w:rPr>
              <w:t xml:space="preserve">Euparol </w:t>
            </w:r>
            <w:r w:rsidRPr="004C21F4">
              <w:rPr>
                <w:rFonts w:asciiTheme="minorHAnsi" w:hAnsiTheme="minorHAnsi" w:cstheme="minorHAnsi"/>
                <w:sz w:val="18"/>
                <w:szCs w:val="18"/>
              </w:rPr>
              <w:t xml:space="preserve">or </w:t>
            </w:r>
            <w:r w:rsidRPr="004C21F4">
              <w:rPr>
                <w:rFonts w:asciiTheme="minorHAnsi" w:hAnsiTheme="minorHAnsi" w:cstheme="minorHAnsi"/>
                <w:strike/>
                <w:color w:val="800000"/>
                <w:sz w:val="18"/>
                <w:szCs w:val="18"/>
              </w:rPr>
              <w:t>Euparol)</w:t>
            </w:r>
            <w:r w:rsidRPr="004C21F4">
              <w:rPr>
                <w:rFonts w:asciiTheme="minorHAnsi" w:hAnsiTheme="minorHAnsi" w:cstheme="minorHAnsi"/>
                <w:color w:val="800000"/>
                <w:sz w:val="18"/>
                <w:szCs w:val="18"/>
                <w:u w:val="single"/>
              </w:rPr>
              <w:t>nail polish)</w:t>
            </w:r>
            <w:r w:rsidRPr="004C21F4">
              <w:rPr>
                <w:rFonts w:asciiTheme="minorHAnsi" w:hAnsiTheme="minorHAnsi" w:cstheme="minorHAnsi"/>
                <w:sz w:val="18"/>
                <w:szCs w:val="18"/>
              </w:rPr>
              <w:t xml:space="preserve">. Detailed methods for mite specimen preparation and mounting are </w:t>
            </w:r>
            <w:r w:rsidRPr="004C21F4">
              <w:rPr>
                <w:rFonts w:asciiTheme="minorHAnsi" w:hAnsiTheme="minorHAnsi" w:cstheme="minorHAnsi"/>
                <w:sz w:val="18"/>
                <w:szCs w:val="18"/>
              </w:rPr>
              <w:lastRenderedPageBreak/>
              <w:t>available in Walter and Krantz (2009).</w:t>
            </w:r>
          </w:p>
        </w:tc>
        <w:tc>
          <w:tcPr>
            <w:tcW w:w="1667" w:type="pct"/>
          </w:tcPr>
          <w:p w14:paraId="2FFBD1A3"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lastRenderedPageBreak/>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Nail polish could be included in this list as it is easy to obtain</w:t>
            </w:r>
          </w:p>
        </w:tc>
        <w:tc>
          <w:tcPr>
            <w:tcW w:w="1239" w:type="pct"/>
          </w:tcPr>
          <w:p w14:paraId="6AA61DA6" w14:textId="2F9CA6E2"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b/>
                <w:bCs/>
                <w:sz w:val="18"/>
                <w:szCs w:val="18"/>
              </w:rPr>
              <w:t>Considered but not incorporated</w:t>
            </w:r>
            <w:r w:rsidRPr="004C21F4">
              <w:rPr>
                <w:rFonts w:asciiTheme="minorHAnsi" w:hAnsiTheme="minorHAnsi" w:cstheme="minorHAnsi"/>
                <w:sz w:val="18"/>
                <w:szCs w:val="18"/>
              </w:rPr>
              <w:t xml:space="preserve">. </w:t>
            </w:r>
          </w:p>
          <w:p w14:paraId="01CC556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16F6149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While nail polish can be used, it is susceptible to cracking and may dissolve </w:t>
            </w:r>
            <w:r w:rsidRPr="004C21F4">
              <w:rPr>
                <w:rFonts w:asciiTheme="minorHAnsi" w:hAnsiTheme="minorHAnsi" w:cstheme="minorHAnsi"/>
                <w:sz w:val="18"/>
                <w:szCs w:val="18"/>
              </w:rPr>
              <w:lastRenderedPageBreak/>
              <w:t xml:space="preserve">in substances used to clean  slides.  </w:t>
            </w:r>
          </w:p>
        </w:tc>
      </w:tr>
      <w:tr w:rsidR="00576EA8" w:rsidRPr="004C21F4" w14:paraId="61D7AC11"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BDAFBCD"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lastRenderedPageBreak/>
              <w:t>74</w:t>
            </w:r>
          </w:p>
        </w:tc>
        <w:tc>
          <w:tcPr>
            <w:tcW w:w="1620" w:type="pct"/>
          </w:tcPr>
          <w:p w14:paraId="0AFAC15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movable cheliceral digits greatly </w:t>
            </w:r>
            <w:r w:rsidRPr="004C21F4">
              <w:rPr>
                <w:rFonts w:asciiTheme="minorHAnsi" w:hAnsiTheme="minorHAnsi" w:cstheme="minorHAnsi"/>
                <w:strike/>
                <w:color w:val="FF00FF"/>
                <w:sz w:val="18"/>
                <w:szCs w:val="18"/>
              </w:rPr>
              <w:t>elongate</w:t>
            </w:r>
            <w:r w:rsidRPr="004C21F4">
              <w:rPr>
                <w:rFonts w:asciiTheme="minorHAnsi" w:hAnsiTheme="minorHAnsi" w:cstheme="minorHAnsi"/>
                <w:color w:val="FF00FF"/>
                <w:sz w:val="18"/>
                <w:szCs w:val="18"/>
                <w:u w:val="single"/>
              </w:rPr>
              <w:t>elongate (Figure 6B)</w:t>
            </w:r>
            <w:r w:rsidRPr="004C21F4">
              <w:rPr>
                <w:rFonts w:asciiTheme="minorHAnsi" w:hAnsiTheme="minorHAnsi" w:cstheme="minorHAnsi"/>
                <w:sz w:val="18"/>
                <w:szCs w:val="18"/>
              </w:rPr>
              <w:t>, whip-like;</w:t>
            </w:r>
          </w:p>
        </w:tc>
        <w:tc>
          <w:tcPr>
            <w:tcW w:w="1667" w:type="pct"/>
          </w:tcPr>
          <w:p w14:paraId="50D6EBB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Figure 6B shows "movable digits" but the character state "whip-like" is no visible. Could an additional figure show the character state whip-like?</w:t>
            </w:r>
          </w:p>
        </w:tc>
        <w:tc>
          <w:tcPr>
            <w:tcW w:w="1239" w:type="pct"/>
          </w:tcPr>
          <w:p w14:paraId="601E64AF" w14:textId="27BAFF3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b/>
                <w:bCs/>
                <w:sz w:val="18"/>
                <w:szCs w:val="18"/>
              </w:rPr>
              <w:t>Modiied.</w:t>
            </w:r>
            <w:r w:rsidRPr="004C21F4">
              <w:rPr>
                <w:rFonts w:asciiTheme="minorHAnsi" w:hAnsiTheme="minorHAnsi" w:cstheme="minorHAnsi"/>
                <w:sz w:val="18"/>
                <w:szCs w:val="18"/>
              </w:rPr>
              <w:t xml:space="preserve"> Figure A included. The ‘whip’ is posterior </w:t>
            </w:r>
          </w:p>
          <w:p w14:paraId="0909822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p>
          <w:p w14:paraId="4CD35103"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u w:val="single"/>
              </w:rPr>
            </w:pPr>
            <w:r w:rsidRPr="004C21F4">
              <w:rPr>
                <w:rFonts w:asciiTheme="minorHAnsi" w:hAnsiTheme="minorHAnsi" w:cstheme="minorHAnsi"/>
                <w:sz w:val="18"/>
                <w:szCs w:val="18"/>
                <w:u w:val="single"/>
              </w:rPr>
              <w:t xml:space="preserve">Will consider including a label </w:t>
            </w:r>
          </w:p>
        </w:tc>
      </w:tr>
      <w:tr w:rsidR="00576EA8" w:rsidRPr="004C21F4" w14:paraId="5A7B84A6"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9F0E90F"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82</w:t>
            </w:r>
          </w:p>
        </w:tc>
        <w:tc>
          <w:tcPr>
            <w:tcW w:w="1620" w:type="pct"/>
          </w:tcPr>
          <w:p w14:paraId="1A29B8F9" w14:textId="77777777" w:rsidR="006C5445" w:rsidRPr="004C21F4" w:rsidRDefault="006C5445" w:rsidP="0054726C">
            <w:pPr>
              <w:pStyle w:val="IPPParagraphnumbering1188"/>
              <w:tabs>
                <w:tab w:val="clear" w:pos="720"/>
                <w:tab w:val="right" w:leader="dot" w:pos="9072"/>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lang w:val="en-GB"/>
              </w:rPr>
            </w:pPr>
            <w:r w:rsidRPr="004C21F4">
              <w:rPr>
                <w:rFonts w:asciiTheme="minorHAnsi" w:hAnsiTheme="minorHAnsi" w:cstheme="minorHAnsi"/>
                <w:sz w:val="18"/>
                <w:szCs w:val="18"/>
                <w:lang w:val="en-GB"/>
              </w:rPr>
              <w:t>1. </w:t>
            </w:r>
            <w:proofErr w:type="spellStart"/>
            <w:r w:rsidRPr="004C21F4">
              <w:rPr>
                <w:rFonts w:asciiTheme="minorHAnsi" w:hAnsiTheme="minorHAnsi" w:cstheme="minorHAnsi"/>
                <w:sz w:val="18"/>
                <w:szCs w:val="18"/>
                <w:lang w:val="en-GB"/>
              </w:rPr>
              <w:t>Empodium</w:t>
            </w:r>
            <w:proofErr w:type="spellEnd"/>
            <w:r w:rsidRPr="004C21F4">
              <w:rPr>
                <w:rFonts w:asciiTheme="minorHAnsi" w:hAnsiTheme="minorHAnsi" w:cstheme="minorHAnsi"/>
                <w:sz w:val="18"/>
                <w:szCs w:val="18"/>
                <w:lang w:val="en-GB"/>
              </w:rPr>
              <w:t xml:space="preserve"> without </w:t>
            </w:r>
            <w:proofErr w:type="spellStart"/>
            <w:r w:rsidRPr="004C21F4">
              <w:rPr>
                <w:rFonts w:asciiTheme="minorHAnsi" w:hAnsiTheme="minorHAnsi" w:cstheme="minorHAnsi"/>
                <w:sz w:val="18"/>
                <w:szCs w:val="18"/>
                <w:lang w:val="en-GB"/>
              </w:rPr>
              <w:t>tenent</w:t>
            </w:r>
            <w:proofErr w:type="spellEnd"/>
            <w:r w:rsidRPr="004C21F4">
              <w:rPr>
                <w:rFonts w:asciiTheme="minorHAnsi" w:hAnsiTheme="minorHAnsi" w:cstheme="minorHAnsi"/>
                <w:sz w:val="18"/>
                <w:szCs w:val="18"/>
                <w:lang w:val="en-GB"/>
              </w:rPr>
              <w:t xml:space="preserve"> hairs (Figures 9B–9H); female with one or two pairs of </w:t>
            </w:r>
            <w:proofErr w:type="spellStart"/>
            <w:r w:rsidRPr="004C21F4">
              <w:rPr>
                <w:rFonts w:asciiTheme="minorHAnsi" w:hAnsiTheme="minorHAnsi" w:cstheme="minorHAnsi"/>
                <w:sz w:val="18"/>
                <w:szCs w:val="18"/>
                <w:lang w:val="en-GB"/>
              </w:rPr>
              <w:t>pseudanal</w:t>
            </w:r>
            <w:proofErr w:type="spellEnd"/>
            <w:r w:rsidRPr="004C21F4">
              <w:rPr>
                <w:rFonts w:asciiTheme="minorHAnsi" w:hAnsiTheme="minorHAnsi" w:cstheme="minorHAnsi"/>
                <w:sz w:val="18"/>
                <w:szCs w:val="18"/>
                <w:lang w:val="en-GB"/>
              </w:rPr>
              <w:t xml:space="preserve"> (</w:t>
            </w:r>
            <w:proofErr w:type="spellStart"/>
            <w:r w:rsidRPr="004C21F4">
              <w:rPr>
                <w:rFonts w:asciiTheme="minorHAnsi" w:hAnsiTheme="minorHAnsi" w:cstheme="minorHAnsi"/>
                <w:i/>
                <w:iCs/>
                <w:sz w:val="18"/>
                <w:szCs w:val="18"/>
                <w:lang w:val="en-GB"/>
              </w:rPr>
              <w:t>ps</w:t>
            </w:r>
            <w:proofErr w:type="spellEnd"/>
            <w:r w:rsidRPr="004C21F4">
              <w:rPr>
                <w:rFonts w:asciiTheme="minorHAnsi" w:hAnsiTheme="minorHAnsi" w:cstheme="minorHAnsi"/>
                <w:sz w:val="18"/>
                <w:szCs w:val="18"/>
                <w:lang w:val="en-GB"/>
              </w:rPr>
              <w:t xml:space="preserve">) setae (Figures 3B and 6C); </w:t>
            </w:r>
            <w:bookmarkStart w:id="1" w:name="_Hlk72219647"/>
            <w:bookmarkStart w:id="2" w:name="_Hlk100588002"/>
            <w:r w:rsidRPr="004C21F4">
              <w:rPr>
                <w:rFonts w:asciiTheme="minorHAnsi" w:hAnsiTheme="minorHAnsi" w:cstheme="minorHAnsi"/>
                <w:sz w:val="18"/>
                <w:szCs w:val="18"/>
                <w:lang w:val="en-GB"/>
              </w:rPr>
              <w:t xml:space="preserve">male with four pairs of </w:t>
            </w:r>
            <w:bookmarkStart w:id="3" w:name="_Hlk88164454"/>
            <w:r w:rsidRPr="004C21F4">
              <w:rPr>
                <w:rFonts w:asciiTheme="minorHAnsi" w:hAnsiTheme="minorHAnsi" w:cstheme="minorHAnsi"/>
                <w:sz w:val="18"/>
                <w:szCs w:val="18"/>
                <w:lang w:val="en-GB"/>
              </w:rPr>
              <w:t>setae (</w:t>
            </w:r>
            <w:r w:rsidRPr="004C21F4">
              <w:rPr>
                <w:rFonts w:asciiTheme="minorHAnsi" w:hAnsiTheme="minorHAnsi" w:cstheme="minorHAnsi"/>
                <w:i/>
                <w:iCs/>
                <w:sz w:val="18"/>
                <w:szCs w:val="18"/>
                <w:lang w:val="en-GB"/>
              </w:rPr>
              <w:t>g</w:t>
            </w:r>
            <w:r w:rsidRPr="004C21F4">
              <w:rPr>
                <w:rFonts w:asciiTheme="minorHAnsi" w:hAnsiTheme="minorHAnsi" w:cstheme="minorHAnsi"/>
                <w:sz w:val="18"/>
                <w:szCs w:val="18"/>
                <w:lang w:val="en-GB"/>
              </w:rPr>
              <w:t xml:space="preserve"> and </w:t>
            </w:r>
            <w:proofErr w:type="spellStart"/>
            <w:r w:rsidRPr="004C21F4">
              <w:rPr>
                <w:rFonts w:asciiTheme="minorHAnsi" w:hAnsiTheme="minorHAnsi" w:cstheme="minorHAnsi"/>
                <w:i/>
                <w:iCs/>
                <w:sz w:val="18"/>
                <w:szCs w:val="18"/>
                <w:lang w:val="en-GB"/>
              </w:rPr>
              <w:t>ps</w:t>
            </w:r>
            <w:proofErr w:type="spellEnd"/>
            <w:r w:rsidRPr="004C21F4">
              <w:rPr>
                <w:rFonts w:asciiTheme="minorHAnsi" w:hAnsiTheme="minorHAnsi" w:cstheme="minorHAnsi"/>
                <w:sz w:val="18"/>
                <w:szCs w:val="18"/>
                <w:lang w:val="en-GB"/>
              </w:rPr>
              <w:t xml:space="preserve">) on </w:t>
            </w:r>
            <w:proofErr w:type="spellStart"/>
            <w:r w:rsidRPr="004C21F4">
              <w:rPr>
                <w:rFonts w:asciiTheme="minorHAnsi" w:hAnsiTheme="minorHAnsi" w:cstheme="minorHAnsi"/>
                <w:sz w:val="18"/>
                <w:szCs w:val="18"/>
                <w:lang w:val="en-GB"/>
              </w:rPr>
              <w:t>genito</w:t>
            </w:r>
            <w:proofErr w:type="spellEnd"/>
            <w:r w:rsidRPr="004C21F4">
              <w:rPr>
                <w:rFonts w:asciiTheme="minorHAnsi" w:hAnsiTheme="minorHAnsi" w:cstheme="minorHAnsi"/>
                <w:sz w:val="18"/>
                <w:szCs w:val="18"/>
                <w:lang w:val="en-GB"/>
              </w:rPr>
              <w:t>-anal valves</w:t>
            </w:r>
            <w:bookmarkEnd w:id="1"/>
            <w:r w:rsidRPr="004C21F4">
              <w:rPr>
                <w:rFonts w:asciiTheme="minorHAnsi" w:hAnsiTheme="minorHAnsi" w:cstheme="minorHAnsi"/>
                <w:sz w:val="18"/>
                <w:szCs w:val="18"/>
                <w:lang w:val="en-GB"/>
              </w:rPr>
              <w:t xml:space="preserve"> </w:t>
            </w:r>
            <w:bookmarkEnd w:id="3"/>
            <w:r w:rsidRPr="004C21F4">
              <w:rPr>
                <w:rFonts w:asciiTheme="minorHAnsi" w:hAnsiTheme="minorHAnsi" w:cstheme="minorHAnsi"/>
                <w:sz w:val="18"/>
                <w:szCs w:val="18"/>
                <w:lang w:val="en-GB"/>
              </w:rPr>
              <w:t>(</w:t>
            </w:r>
            <w:bookmarkStart w:id="4" w:name="_Hlk95744576"/>
            <w:r w:rsidRPr="004C21F4">
              <w:rPr>
                <w:rFonts w:asciiTheme="minorHAnsi" w:hAnsiTheme="minorHAnsi" w:cstheme="minorHAnsi"/>
                <w:sz w:val="18"/>
                <w:szCs w:val="18"/>
                <w:lang w:val="en-GB"/>
              </w:rPr>
              <w:t>Figure 4A</w:t>
            </w:r>
            <w:bookmarkEnd w:id="2"/>
            <w:bookmarkEnd w:id="4"/>
            <w:r w:rsidRPr="004C21F4">
              <w:rPr>
                <w:rFonts w:asciiTheme="minorHAnsi" w:hAnsiTheme="minorHAnsi" w:cstheme="minorHAnsi"/>
                <w:sz w:val="18"/>
                <w:szCs w:val="18"/>
                <w:lang w:val="en-GB"/>
              </w:rPr>
              <w:t>).</w:t>
            </w:r>
            <w:r w:rsidRPr="004C21F4">
              <w:rPr>
                <w:rFonts w:asciiTheme="minorHAnsi" w:hAnsiTheme="minorHAnsi" w:cstheme="minorHAnsi"/>
                <w:sz w:val="18"/>
                <w:szCs w:val="18"/>
                <w:lang w:val="en-GB"/>
              </w:rPr>
              <w:tab/>
            </w:r>
            <w:r w:rsidRPr="004C21F4">
              <w:rPr>
                <w:rFonts w:asciiTheme="minorHAnsi" w:hAnsiTheme="minorHAnsi" w:cstheme="minorHAnsi"/>
                <w:b/>
                <w:bCs/>
                <w:sz w:val="18"/>
                <w:szCs w:val="18"/>
                <w:lang w:val="en-GB"/>
              </w:rPr>
              <w:t>2</w:t>
            </w:r>
          </w:p>
        </w:tc>
        <w:tc>
          <w:tcPr>
            <w:tcW w:w="1667" w:type="pct"/>
          </w:tcPr>
          <w:p w14:paraId="4DA9D7BC"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Could the drafting check if the text should not be 'Empodium absent (Figure 9B) or without tenent hairs (Figures 9C–H);' ?</w:t>
            </w:r>
          </w:p>
        </w:tc>
        <w:tc>
          <w:tcPr>
            <w:tcW w:w="1239" w:type="pct"/>
          </w:tcPr>
          <w:p w14:paraId="07C638BE"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t xml:space="preserve"> </w:t>
            </w:r>
            <w:r w:rsidRPr="004C21F4">
              <w:rPr>
                <w:rFonts w:asciiTheme="minorHAnsi" w:hAnsiTheme="minorHAnsi" w:cstheme="minorHAnsi"/>
                <w:color w:val="7030A0"/>
                <w:sz w:val="18"/>
                <w:szCs w:val="18"/>
                <w:highlight w:val="yellow"/>
              </w:rPr>
              <w:t>For Authors</w:t>
            </w:r>
          </w:p>
        </w:tc>
      </w:tr>
      <w:tr w:rsidR="00576EA8" w:rsidRPr="004C21F4" w14:paraId="76D02551"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4F9CB3EA"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96</w:t>
            </w:r>
          </w:p>
        </w:tc>
        <w:tc>
          <w:tcPr>
            <w:tcW w:w="1620" w:type="pct"/>
          </w:tcPr>
          <w:p w14:paraId="49AEE928" w14:textId="77777777" w:rsidR="006C5445" w:rsidRPr="004C21F4" w:rsidRDefault="006C5445" w:rsidP="0054726C">
            <w:pPr>
              <w:pStyle w:val="IPPParagraphnumbering1188"/>
              <w:tabs>
                <w:tab w:val="clear" w:pos="720"/>
                <w:tab w:val="right" w:leader="dot" w:pos="9072"/>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i/>
                <w:iCs/>
                <w:sz w:val="18"/>
                <w:szCs w:val="18"/>
                <w:lang w:val="en-GB"/>
              </w:rPr>
            </w:pPr>
            <w:r w:rsidRPr="004C21F4">
              <w:rPr>
                <w:rFonts w:asciiTheme="minorHAnsi" w:hAnsiTheme="minorHAnsi" w:cstheme="minorHAnsi"/>
                <w:sz w:val="18"/>
                <w:szCs w:val="18"/>
                <w:lang w:val="en-GB"/>
              </w:rPr>
              <w:t>8. </w:t>
            </w:r>
            <w:proofErr w:type="spellStart"/>
            <w:r w:rsidRPr="004C21F4">
              <w:rPr>
                <w:rFonts w:asciiTheme="minorHAnsi" w:hAnsiTheme="minorHAnsi" w:cstheme="minorHAnsi"/>
                <w:sz w:val="18"/>
                <w:szCs w:val="18"/>
                <w:lang w:val="en-GB"/>
              </w:rPr>
              <w:t>Empodial</w:t>
            </w:r>
            <w:proofErr w:type="spellEnd"/>
            <w:r w:rsidRPr="004C21F4">
              <w:rPr>
                <w:rFonts w:asciiTheme="minorHAnsi" w:hAnsiTheme="minorHAnsi" w:cstheme="minorHAnsi"/>
                <w:iCs/>
                <w:sz w:val="18"/>
                <w:szCs w:val="18"/>
                <w:lang w:val="en-GB"/>
              </w:rPr>
              <w:t xml:space="preserve"> </w:t>
            </w:r>
            <w:r w:rsidRPr="004C21F4">
              <w:rPr>
                <w:rFonts w:asciiTheme="minorHAnsi" w:hAnsiTheme="minorHAnsi" w:cstheme="minorHAnsi"/>
                <w:sz w:val="18"/>
                <w:szCs w:val="18"/>
                <w:lang w:val="en-GB"/>
              </w:rPr>
              <w:t>claw ending in a single tip (Figure 9C)</w:t>
            </w:r>
            <w:r w:rsidRPr="004C21F4">
              <w:rPr>
                <w:rFonts w:asciiTheme="minorHAnsi" w:hAnsiTheme="minorHAnsi" w:cstheme="minorHAnsi"/>
                <w:sz w:val="18"/>
                <w:szCs w:val="18"/>
                <w:lang w:val="en-GB"/>
              </w:rPr>
              <w:tab/>
            </w:r>
            <w:r w:rsidRPr="004C21F4">
              <w:rPr>
                <w:rFonts w:asciiTheme="minorHAnsi" w:hAnsiTheme="minorHAnsi" w:cstheme="minorHAnsi"/>
                <w:b/>
                <w:bCs/>
                <w:sz w:val="18"/>
                <w:szCs w:val="18"/>
                <w:lang w:val="en-GB"/>
              </w:rPr>
              <w:t>9</w:t>
            </w:r>
          </w:p>
        </w:tc>
        <w:tc>
          <w:tcPr>
            <w:tcW w:w="1667" w:type="pct"/>
          </w:tcPr>
          <w:p w14:paraId="5633728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b/>
                <w:sz w:val="18"/>
                <w:szCs w:val="18"/>
              </w:rPr>
              <w:t xml:space="preserve">Suggest </w:t>
            </w:r>
            <w:r w:rsidRPr="004C21F4">
              <w:rPr>
                <w:rFonts w:asciiTheme="minorHAnsi" w:hAnsiTheme="minorHAnsi" w:cstheme="minorHAnsi"/>
                <w:sz w:val="18"/>
                <w:szCs w:val="18"/>
              </w:rPr>
              <w:t>the addition of figure of Allonycus sp. in te Figure 9 because it will be easier to understood.</w:t>
            </w:r>
          </w:p>
        </w:tc>
        <w:tc>
          <w:tcPr>
            <w:tcW w:w="1239" w:type="pct"/>
          </w:tcPr>
          <w:p w14:paraId="0EBCA9F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tc>
      </w:tr>
      <w:tr w:rsidR="00576EA8" w:rsidRPr="004C21F4" w14:paraId="35C5258D"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2A34790E"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96</w:t>
            </w:r>
          </w:p>
        </w:tc>
        <w:tc>
          <w:tcPr>
            <w:tcW w:w="1620" w:type="pct"/>
          </w:tcPr>
          <w:p w14:paraId="3A14E5D4"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8. Empodial claw ending in a single tip (Figure </w:t>
            </w:r>
            <w:r w:rsidRPr="004C21F4">
              <w:rPr>
                <w:rFonts w:asciiTheme="minorHAnsi" w:hAnsiTheme="minorHAnsi" w:cstheme="minorHAnsi"/>
                <w:strike/>
                <w:color w:val="FF0000"/>
                <w:sz w:val="18"/>
                <w:szCs w:val="18"/>
              </w:rPr>
              <w:t>9C)</w:t>
            </w:r>
            <w:r w:rsidRPr="004C21F4">
              <w:rPr>
                <w:rFonts w:asciiTheme="minorHAnsi" w:hAnsiTheme="minorHAnsi" w:cstheme="minorHAnsi"/>
                <w:sz w:val="18"/>
                <w:szCs w:val="18"/>
              </w:rPr>
              <w:tab/>
            </w:r>
            <w:r w:rsidRPr="004C21F4">
              <w:rPr>
                <w:rFonts w:asciiTheme="minorHAnsi" w:hAnsiTheme="minorHAnsi" w:cstheme="minorHAnsi"/>
                <w:color w:val="FF0000"/>
                <w:sz w:val="18"/>
                <w:szCs w:val="18"/>
                <w:u w:val="single"/>
              </w:rPr>
              <w:t>9C and Figur9E)</w:t>
            </w:r>
            <w:r w:rsidRPr="004C21F4">
              <w:rPr>
                <w:rFonts w:asciiTheme="minorHAnsi" w:hAnsiTheme="minorHAnsi" w:cstheme="minorHAnsi"/>
                <w:sz w:val="18"/>
                <w:szCs w:val="18"/>
                <w:u w:val="single"/>
              </w:rPr>
              <w:tab/>
            </w:r>
            <w:r w:rsidRPr="004C21F4">
              <w:rPr>
                <w:rFonts w:asciiTheme="minorHAnsi" w:hAnsiTheme="minorHAnsi" w:cstheme="minorHAnsi"/>
                <w:b/>
                <w:bCs/>
                <w:sz w:val="18"/>
                <w:szCs w:val="18"/>
              </w:rPr>
              <w:t>9</w:t>
            </w:r>
          </w:p>
        </w:tc>
        <w:tc>
          <w:tcPr>
            <w:tcW w:w="1667" w:type="pct"/>
          </w:tcPr>
          <w:p w14:paraId="4EC1C464"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Figure 9E is presumed to be Panonychus sp., which corresponds to key couplet 8, because it is easier to understand if this is added to the example.</w:t>
            </w:r>
          </w:p>
        </w:tc>
        <w:tc>
          <w:tcPr>
            <w:tcW w:w="1239" w:type="pct"/>
          </w:tcPr>
          <w:p w14:paraId="7A980A04"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 Incorporated</w:t>
            </w:r>
          </w:p>
        </w:tc>
      </w:tr>
      <w:tr w:rsidR="00576EA8" w:rsidRPr="004C21F4" w14:paraId="431C7623"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673E73DA"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148</w:t>
            </w:r>
          </w:p>
        </w:tc>
        <w:tc>
          <w:tcPr>
            <w:tcW w:w="1620" w:type="pct"/>
          </w:tcPr>
          <w:p w14:paraId="61EF660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Idiosoma: tapered posteriorly (Figure 2A),</w:t>
            </w:r>
            <w:r w:rsidRPr="004C21F4">
              <w:rPr>
                <w:rFonts w:asciiTheme="minorHAnsi" w:hAnsiTheme="minorHAnsi" w:cstheme="minorHAnsi"/>
                <w:sz w:val="18"/>
                <w:szCs w:val="18"/>
                <w:highlight w:val="cyan"/>
              </w:rPr>
              <w:t> 312 µm long and 167 µm wide, </w:t>
            </w:r>
            <w:r w:rsidRPr="004C21F4">
              <w:rPr>
                <w:rFonts w:asciiTheme="minorHAnsi" w:hAnsiTheme="minorHAnsi" w:cstheme="minorHAnsi"/>
                <w:sz w:val="18"/>
                <w:szCs w:val="18"/>
              </w:rPr>
              <w:t>paler than adult female when alive. Aedeagus (</w:t>
            </w:r>
          </w:p>
        </w:tc>
        <w:tc>
          <w:tcPr>
            <w:tcW w:w="1667" w:type="pct"/>
          </w:tcPr>
          <w:p w14:paraId="382A3A11"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t>Length and width should be a numerical range in morphological description</w:t>
            </w:r>
          </w:p>
        </w:tc>
        <w:tc>
          <w:tcPr>
            <w:tcW w:w="1239" w:type="pct"/>
          </w:tcPr>
          <w:p w14:paraId="47026D0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yellow"/>
              </w:rPr>
            </w:pPr>
            <w:r w:rsidRPr="004C21F4">
              <w:rPr>
                <w:rFonts w:asciiTheme="minorHAnsi" w:hAnsiTheme="minorHAnsi" w:cstheme="minorHAnsi"/>
                <w:sz w:val="18"/>
                <w:szCs w:val="18"/>
                <w:highlight w:val="yellow"/>
              </w:rPr>
              <w:br/>
            </w:r>
            <w:r w:rsidRPr="004C21F4">
              <w:rPr>
                <w:rFonts w:asciiTheme="minorHAnsi" w:hAnsiTheme="minorHAnsi" w:cstheme="minorHAnsi"/>
                <w:color w:val="7030A0"/>
                <w:sz w:val="18"/>
                <w:szCs w:val="18"/>
                <w:highlight w:val="yellow"/>
              </w:rPr>
              <w:t xml:space="preserve">For the Authors </w:t>
            </w:r>
          </w:p>
        </w:tc>
      </w:tr>
      <w:tr w:rsidR="00576EA8" w:rsidRPr="004C21F4" w14:paraId="79BDA9EE"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5ECEE17"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153</w:t>
            </w:r>
          </w:p>
        </w:tc>
        <w:tc>
          <w:tcPr>
            <w:tcW w:w="1620" w:type="pct"/>
          </w:tcPr>
          <w:p w14:paraId="5D76A5DF"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A molecular identification method for </w:t>
            </w:r>
            <w:r w:rsidRPr="004C21F4">
              <w:rPr>
                <w:rFonts w:asciiTheme="minorHAnsi" w:hAnsiTheme="minorHAnsi" w:cstheme="minorHAnsi"/>
                <w:i/>
                <w:sz w:val="18"/>
                <w:szCs w:val="18"/>
              </w:rPr>
              <w:t>M. tanajoa</w:t>
            </w:r>
            <w:r w:rsidRPr="004C21F4">
              <w:rPr>
                <w:rFonts w:asciiTheme="minorHAnsi" w:hAnsiTheme="minorHAnsi" w:cstheme="minorHAnsi"/>
                <w:sz w:val="18"/>
                <w:szCs w:val="18"/>
              </w:rPr>
              <w:t xml:space="preserve"> using restriction fragment length polymorphism of the </w:t>
            </w:r>
            <w:r w:rsidRPr="004C21F4">
              <w:rPr>
                <w:rFonts w:asciiTheme="minorHAnsi" w:hAnsiTheme="minorHAnsi" w:cstheme="minorHAnsi"/>
                <w:i/>
                <w:sz w:val="18"/>
                <w:szCs w:val="18"/>
              </w:rPr>
              <w:t>COI</w:t>
            </w:r>
            <w:r w:rsidRPr="004C21F4">
              <w:rPr>
                <w:rFonts w:asciiTheme="minorHAnsi" w:hAnsiTheme="minorHAnsi" w:cstheme="minorHAnsi"/>
                <w:sz w:val="18"/>
                <w:szCs w:val="18"/>
              </w:rPr>
              <w:t xml:space="preserve"> gene was reported by Ovalle </w:t>
            </w:r>
            <w:r w:rsidRPr="004C21F4">
              <w:rPr>
                <w:rFonts w:asciiTheme="minorHAnsi" w:hAnsiTheme="minorHAnsi" w:cstheme="minorHAnsi"/>
                <w:i/>
                <w:sz w:val="18"/>
                <w:szCs w:val="18"/>
              </w:rPr>
              <w:t>et al</w:t>
            </w:r>
            <w:r w:rsidRPr="004C21F4">
              <w:rPr>
                <w:rFonts w:asciiTheme="minorHAnsi" w:hAnsiTheme="minorHAnsi" w:cstheme="minorHAnsi"/>
                <w:sz w:val="18"/>
                <w:szCs w:val="18"/>
              </w:rPr>
              <w:t xml:space="preserve">. (2020) but is not described </w:t>
            </w:r>
            <w:r w:rsidRPr="004C21F4">
              <w:rPr>
                <w:rFonts w:asciiTheme="minorHAnsi" w:hAnsiTheme="minorHAnsi" w:cstheme="minorHAnsi"/>
                <w:strike/>
                <w:color w:val="0000FF"/>
                <w:sz w:val="18"/>
                <w:szCs w:val="18"/>
              </w:rPr>
              <w:t xml:space="preserve">here as </w:t>
            </w:r>
            <w:r w:rsidRPr="004C21F4">
              <w:rPr>
                <w:rFonts w:asciiTheme="minorHAnsi" w:hAnsiTheme="minorHAnsi" w:cstheme="minorHAnsi"/>
                <w:color w:val="0000FF"/>
                <w:sz w:val="18"/>
                <w:szCs w:val="18"/>
                <w:u w:val="single"/>
              </w:rPr>
              <w:t xml:space="preserve">here  because </w:t>
            </w:r>
            <w:r w:rsidRPr="004C21F4">
              <w:rPr>
                <w:rFonts w:asciiTheme="minorHAnsi" w:hAnsiTheme="minorHAnsi" w:cstheme="minorHAnsi"/>
                <w:sz w:val="18"/>
                <w:szCs w:val="18"/>
              </w:rPr>
              <w:t xml:space="preserve">DNA sequencing of </w:t>
            </w:r>
            <w:r w:rsidRPr="004C21F4">
              <w:rPr>
                <w:rFonts w:asciiTheme="minorHAnsi" w:hAnsiTheme="minorHAnsi" w:cstheme="minorHAnsi"/>
                <w:i/>
                <w:sz w:val="18"/>
                <w:szCs w:val="18"/>
              </w:rPr>
              <w:t>COI</w:t>
            </w:r>
            <w:r w:rsidRPr="004C21F4">
              <w:rPr>
                <w:rFonts w:asciiTheme="minorHAnsi" w:hAnsiTheme="minorHAnsi" w:cstheme="minorHAnsi"/>
                <w:sz w:val="18"/>
                <w:szCs w:val="18"/>
              </w:rPr>
              <w:t xml:space="preserve"> is </w:t>
            </w:r>
            <w:r w:rsidRPr="004C21F4">
              <w:rPr>
                <w:rFonts w:asciiTheme="minorHAnsi" w:hAnsiTheme="minorHAnsi" w:cstheme="minorHAnsi"/>
                <w:strike/>
                <w:color w:val="0000FF"/>
                <w:sz w:val="18"/>
                <w:szCs w:val="18"/>
              </w:rPr>
              <w:t xml:space="preserve">used only </w:t>
            </w:r>
            <w:r w:rsidRPr="004C21F4">
              <w:rPr>
                <w:rFonts w:asciiTheme="minorHAnsi" w:hAnsiTheme="minorHAnsi" w:cstheme="minorHAnsi"/>
                <w:color w:val="0000FF"/>
                <w:sz w:val="18"/>
                <w:szCs w:val="18"/>
                <w:u w:val="single"/>
              </w:rPr>
              <w:t xml:space="preserve">the preferred method </w:t>
            </w:r>
            <w:r w:rsidRPr="004C21F4">
              <w:rPr>
                <w:rFonts w:asciiTheme="minorHAnsi" w:hAnsiTheme="minorHAnsi" w:cstheme="minorHAnsi"/>
                <w:sz w:val="18"/>
                <w:szCs w:val="18"/>
              </w:rPr>
              <w:t>for confirmatory diagnosis.</w:t>
            </w:r>
          </w:p>
        </w:tc>
        <w:tc>
          <w:tcPr>
            <w:tcW w:w="1667" w:type="pct"/>
          </w:tcPr>
          <w:p w14:paraId="2BC63AB9"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is this the intended meaning?</w:t>
            </w:r>
          </w:p>
        </w:tc>
        <w:tc>
          <w:tcPr>
            <w:tcW w:w="1239" w:type="pct"/>
          </w:tcPr>
          <w:p w14:paraId="6EC79575" w14:textId="35124028"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color w:val="FF0000"/>
                <w:sz w:val="18"/>
                <w:szCs w:val="18"/>
              </w:rPr>
              <w:t xml:space="preserve">Check with Norman </w:t>
            </w:r>
          </w:p>
        </w:tc>
      </w:tr>
      <w:tr w:rsidR="00576EA8" w:rsidRPr="004C21F4" w14:paraId="00A02F20"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7C2CF62F"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155</w:t>
            </w:r>
          </w:p>
        </w:tc>
        <w:tc>
          <w:tcPr>
            <w:tcW w:w="1620" w:type="pct"/>
          </w:tcPr>
          <w:p w14:paraId="63ED6A79" w14:textId="77777777" w:rsidR="006C5445" w:rsidRPr="004C21F4" w:rsidRDefault="006C5445" w:rsidP="0054726C">
            <w:pPr>
              <w:pStyle w:val="IPPParagraphnumbering1188"/>
              <w:tabs>
                <w:tab w:val="clear" w:pos="720"/>
              </w:tabs>
              <w:ind w:left="0" w:firstLine="0"/>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vertAlign w:val="superscript"/>
                <w:lang w:val="en-GB"/>
              </w:rPr>
            </w:pPr>
            <w:r w:rsidRPr="004C21F4">
              <w:rPr>
                <w:rFonts w:asciiTheme="minorHAnsi" w:hAnsiTheme="minorHAnsi" w:cstheme="minorHAnsi"/>
                <w:sz w:val="18"/>
                <w:szCs w:val="18"/>
                <w:lang w:val="en-GB"/>
              </w:rPr>
              <w:t>Genomic DNA should be extracted from a single specimen of any developmental stage, since infestation by more than one species on the same host plant (mixed infestation) is typical for spider mites. The</w:t>
            </w:r>
          </w:p>
        </w:tc>
        <w:tc>
          <w:tcPr>
            <w:tcW w:w="1667" w:type="pct"/>
          </w:tcPr>
          <w:p w14:paraId="261A9879" w14:textId="704F2B6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Given the level of detail for morphological and molecular work, it would be helpful to include a specific protocol for nondestructive DNA extraction.</w:t>
            </w:r>
          </w:p>
        </w:tc>
        <w:tc>
          <w:tcPr>
            <w:tcW w:w="1239" w:type="pct"/>
          </w:tcPr>
          <w:p w14:paraId="65581EB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sz w:val="18"/>
                <w:szCs w:val="18"/>
                <w:highlight w:val="yellow"/>
              </w:rPr>
              <w:t>For Authors</w:t>
            </w:r>
            <w:r w:rsidRPr="004C21F4">
              <w:rPr>
                <w:rFonts w:asciiTheme="minorHAnsi" w:hAnsiTheme="minorHAnsi" w:cstheme="minorHAnsi"/>
                <w:sz w:val="18"/>
                <w:szCs w:val="18"/>
              </w:rPr>
              <w:t xml:space="preserve"> </w:t>
            </w:r>
          </w:p>
        </w:tc>
      </w:tr>
      <w:tr w:rsidR="00576EA8" w:rsidRPr="004C21F4" w14:paraId="39F1FA0C"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C3C98C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161</w:t>
            </w:r>
          </w:p>
        </w:tc>
        <w:tc>
          <w:tcPr>
            <w:tcW w:w="1620" w:type="pct"/>
          </w:tcPr>
          <w:p w14:paraId="5BBD959B"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The above primer set </w:t>
            </w:r>
            <w:r w:rsidRPr="004C21F4">
              <w:rPr>
                <w:rFonts w:asciiTheme="minorHAnsi" w:hAnsiTheme="minorHAnsi" w:cstheme="minorHAnsi"/>
                <w:sz w:val="18"/>
                <w:szCs w:val="18"/>
                <w:highlight w:val="cyan"/>
              </w:rPr>
              <w:t xml:space="preserve">may not always work </w:t>
            </w:r>
            <w:r w:rsidRPr="004C21F4">
              <w:rPr>
                <w:rFonts w:asciiTheme="minorHAnsi" w:hAnsiTheme="minorHAnsi" w:cstheme="minorHAnsi"/>
                <w:sz w:val="18"/>
                <w:szCs w:val="18"/>
              </w:rPr>
              <w:t>for </w:t>
            </w:r>
            <w:r w:rsidRPr="004C21F4">
              <w:rPr>
                <w:rFonts w:asciiTheme="minorHAnsi" w:hAnsiTheme="minorHAnsi" w:cstheme="minorHAnsi"/>
                <w:i/>
                <w:sz w:val="18"/>
                <w:szCs w:val="18"/>
              </w:rPr>
              <w:t>Tetranychus</w:t>
            </w:r>
            <w:r w:rsidRPr="004C21F4">
              <w:rPr>
                <w:rFonts w:asciiTheme="minorHAnsi" w:hAnsiTheme="minorHAnsi" w:cstheme="minorHAnsi"/>
                <w:sz w:val="18"/>
                <w:szCs w:val="18"/>
              </w:rPr>
              <w:t> spp.; if this is the case, the following alternative primers can be used to amplify the </w:t>
            </w:r>
            <w:r w:rsidRPr="004C21F4">
              <w:rPr>
                <w:rFonts w:asciiTheme="minorHAnsi" w:hAnsiTheme="minorHAnsi" w:cstheme="minorHAnsi"/>
                <w:i/>
                <w:sz w:val="18"/>
                <w:szCs w:val="18"/>
              </w:rPr>
              <w:t>COI</w:t>
            </w:r>
            <w:r w:rsidRPr="004C21F4">
              <w:rPr>
                <w:rFonts w:asciiTheme="minorHAnsi" w:hAnsiTheme="minorHAnsi" w:cstheme="minorHAnsi"/>
                <w:sz w:val="18"/>
                <w:szCs w:val="18"/>
              </w:rPr>
              <w:t> gene (Li </w:t>
            </w:r>
            <w:r w:rsidRPr="004C21F4">
              <w:rPr>
                <w:rFonts w:asciiTheme="minorHAnsi" w:hAnsiTheme="minorHAnsi" w:cstheme="minorHAnsi"/>
                <w:i/>
                <w:sz w:val="18"/>
                <w:szCs w:val="18"/>
              </w:rPr>
              <w:t>et al</w:t>
            </w:r>
            <w:r w:rsidRPr="004C21F4">
              <w:rPr>
                <w:rFonts w:asciiTheme="minorHAnsi" w:hAnsiTheme="minorHAnsi" w:cstheme="minorHAnsi"/>
                <w:sz w:val="18"/>
                <w:szCs w:val="18"/>
              </w:rPr>
              <w:t>. 2015):</w:t>
            </w:r>
          </w:p>
        </w:tc>
        <w:tc>
          <w:tcPr>
            <w:tcW w:w="1667" w:type="pct"/>
          </w:tcPr>
          <w:p w14:paraId="1321511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Does this need further explanation? Are they not optimal for detecting Tetranychus spp. compared to Mononychellus?</w:t>
            </w:r>
          </w:p>
        </w:tc>
        <w:tc>
          <w:tcPr>
            <w:tcW w:w="1239" w:type="pct"/>
          </w:tcPr>
          <w:p w14:paraId="002F844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Pr="004C21F4">
              <w:rPr>
                <w:rFonts w:asciiTheme="minorHAnsi" w:hAnsiTheme="minorHAnsi" w:cstheme="minorHAnsi"/>
                <w:sz w:val="18"/>
                <w:szCs w:val="18"/>
                <w:highlight w:val="yellow"/>
              </w:rPr>
              <w:t>For Authors</w:t>
            </w:r>
            <w:r w:rsidRPr="004C21F4">
              <w:rPr>
                <w:rFonts w:asciiTheme="minorHAnsi" w:hAnsiTheme="minorHAnsi" w:cstheme="minorHAnsi"/>
                <w:sz w:val="18"/>
                <w:szCs w:val="18"/>
              </w:rPr>
              <w:t xml:space="preserve"> </w:t>
            </w:r>
          </w:p>
        </w:tc>
      </w:tr>
      <w:tr w:rsidR="00576EA8" w:rsidRPr="004C21F4" w14:paraId="0811283D"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31273EF"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209</w:t>
            </w:r>
          </w:p>
        </w:tc>
        <w:tc>
          <w:tcPr>
            <w:tcW w:w="1620" w:type="pct"/>
          </w:tcPr>
          <w:p w14:paraId="45F643F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 For a final reaction volume of </w:t>
            </w:r>
            <w:r w:rsidRPr="004C21F4">
              <w:rPr>
                <w:rFonts w:asciiTheme="minorHAnsi" w:hAnsiTheme="minorHAnsi" w:cstheme="minorHAnsi"/>
                <w:strike/>
                <w:color w:val="4B0082"/>
                <w:sz w:val="18"/>
                <w:szCs w:val="18"/>
              </w:rPr>
              <w:t xml:space="preserve">30 </w:t>
            </w:r>
            <w:r w:rsidRPr="004C21F4">
              <w:rPr>
                <w:rFonts w:asciiTheme="minorHAnsi" w:hAnsiTheme="minorHAnsi" w:cstheme="minorHAnsi"/>
                <w:color w:val="4B0082"/>
                <w:sz w:val="18"/>
                <w:szCs w:val="18"/>
                <w:u w:val="single"/>
              </w:rPr>
              <w:t xml:space="preserve">20 </w:t>
            </w:r>
            <w:r w:rsidRPr="004C21F4">
              <w:rPr>
                <w:rFonts w:asciiTheme="minorHAnsi" w:hAnsiTheme="minorHAnsi" w:cstheme="minorHAnsi"/>
                <w:sz w:val="18"/>
                <w:szCs w:val="18"/>
              </w:rPr>
              <w:t>µl.</w:t>
            </w:r>
          </w:p>
        </w:tc>
        <w:tc>
          <w:tcPr>
            <w:tcW w:w="1667" w:type="pct"/>
          </w:tcPr>
          <w:p w14:paraId="1399E75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SUBSTANTIVE </w:t>
            </w:r>
            <w:r w:rsidRPr="004C21F4">
              <w:rPr>
                <w:rFonts w:asciiTheme="minorHAnsi" w:hAnsiTheme="minorHAnsi" w:cstheme="minorHAnsi"/>
                <w:sz w:val="18"/>
                <w:szCs w:val="18"/>
              </w:rPr>
              <w:br/>
            </w:r>
            <w:r w:rsidRPr="004C21F4">
              <w:rPr>
                <w:rFonts w:asciiTheme="minorHAnsi" w:hAnsiTheme="minorHAnsi" w:cstheme="minorHAnsi"/>
                <w:sz w:val="18"/>
                <w:szCs w:val="18"/>
              </w:rPr>
              <w:br/>
              <w:t>Ovalle et al (2020) provide an example for the amplification of COI in a total volume of 20 μL.</w:t>
            </w:r>
          </w:p>
        </w:tc>
        <w:tc>
          <w:tcPr>
            <w:tcW w:w="1239" w:type="pct"/>
          </w:tcPr>
          <w:p w14:paraId="124BFC0D"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highlight w:val="cyan"/>
              </w:rPr>
            </w:pPr>
            <w:r w:rsidRPr="004C21F4">
              <w:rPr>
                <w:rFonts w:asciiTheme="minorHAnsi" w:hAnsiTheme="minorHAnsi" w:cstheme="minorHAnsi"/>
                <w:sz w:val="18"/>
                <w:szCs w:val="18"/>
                <w:highlight w:val="cyan"/>
              </w:rPr>
              <w:br/>
            </w:r>
            <w:r w:rsidRPr="004C21F4">
              <w:rPr>
                <w:rFonts w:asciiTheme="minorHAnsi" w:hAnsiTheme="minorHAnsi" w:cstheme="minorHAnsi"/>
                <w:b/>
                <w:bCs/>
                <w:sz w:val="18"/>
                <w:szCs w:val="18"/>
              </w:rPr>
              <w:t>Incorporated</w:t>
            </w:r>
          </w:p>
        </w:tc>
      </w:tr>
      <w:tr w:rsidR="00576EA8" w:rsidRPr="004C21F4" w14:paraId="6AAE1FCF"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15415167"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217</w:t>
            </w:r>
          </w:p>
        </w:tc>
        <w:tc>
          <w:tcPr>
            <w:tcW w:w="1620" w:type="pct"/>
          </w:tcPr>
          <w:p w14:paraId="05DC9A7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One sequence of a 597 bp of the </w:t>
            </w:r>
            <w:r w:rsidRPr="004C21F4">
              <w:rPr>
                <w:rFonts w:asciiTheme="minorHAnsi" w:hAnsiTheme="minorHAnsi" w:cstheme="minorHAnsi"/>
                <w:i/>
                <w:sz w:val="18"/>
                <w:szCs w:val="18"/>
                <w:highlight w:val="cyan"/>
              </w:rPr>
              <w:t>COI</w:t>
            </w:r>
            <w:r w:rsidRPr="004C21F4">
              <w:rPr>
                <w:rFonts w:asciiTheme="minorHAnsi" w:hAnsiTheme="minorHAnsi" w:cstheme="minorHAnsi"/>
                <w:sz w:val="18"/>
                <w:szCs w:val="18"/>
                <w:highlight w:val="cyan"/>
              </w:rPr>
              <w:t> fragment is available in GenBank for an </w:t>
            </w:r>
            <w:r w:rsidRPr="004C21F4">
              <w:rPr>
                <w:rFonts w:asciiTheme="minorHAnsi" w:hAnsiTheme="minorHAnsi" w:cstheme="minorHAnsi"/>
                <w:i/>
                <w:sz w:val="18"/>
                <w:szCs w:val="18"/>
                <w:highlight w:val="cyan"/>
              </w:rPr>
              <w:t>M. tanajoa</w:t>
            </w:r>
            <w:r w:rsidRPr="004C21F4">
              <w:rPr>
                <w:rFonts w:asciiTheme="minorHAnsi" w:hAnsiTheme="minorHAnsi" w:cstheme="minorHAnsi"/>
                <w:sz w:val="18"/>
                <w:szCs w:val="18"/>
                <w:highlight w:val="cyan"/>
              </w:rPr>
              <w:t xml:space="preserve"> haplotype (accession </w:t>
            </w:r>
            <w:r w:rsidRPr="004C21F4">
              <w:rPr>
                <w:rFonts w:asciiTheme="minorHAnsi" w:hAnsiTheme="minorHAnsi" w:cstheme="minorHAnsi"/>
                <w:sz w:val="18"/>
                <w:szCs w:val="18"/>
                <w:highlight w:val="cyan"/>
              </w:rPr>
              <w:lastRenderedPageBreak/>
              <w:t>number MN913384.1)</w:t>
            </w:r>
            <w:r w:rsidRPr="004C21F4">
              <w:rPr>
                <w:rFonts w:asciiTheme="minorHAnsi" w:hAnsiTheme="minorHAnsi" w:cstheme="minorHAnsi"/>
                <w:sz w:val="18"/>
                <w:szCs w:val="18"/>
              </w:rPr>
              <w:t xml:space="preserve"> and also for the closely related </w:t>
            </w:r>
          </w:p>
        </w:tc>
        <w:tc>
          <w:tcPr>
            <w:tcW w:w="1667" w:type="pct"/>
          </w:tcPr>
          <w:p w14:paraId="7B1E63A0"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lastRenderedPageBreak/>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 xml:space="preserve">One available sequence is not </w:t>
            </w:r>
            <w:r w:rsidRPr="004C21F4">
              <w:rPr>
                <w:rFonts w:asciiTheme="minorHAnsi" w:hAnsiTheme="minorHAnsi" w:cstheme="minorHAnsi"/>
                <w:sz w:val="18"/>
                <w:szCs w:val="18"/>
              </w:rPr>
              <w:lastRenderedPageBreak/>
              <w:t>considered sufficient for identification.</w:t>
            </w:r>
          </w:p>
        </w:tc>
        <w:tc>
          <w:tcPr>
            <w:tcW w:w="1239" w:type="pct"/>
          </w:tcPr>
          <w:p w14:paraId="57E0EB42"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highlight w:val="cyan"/>
              </w:rPr>
            </w:pPr>
            <w:r w:rsidRPr="004C21F4">
              <w:rPr>
                <w:rFonts w:asciiTheme="minorHAnsi" w:hAnsiTheme="minorHAnsi" w:cstheme="minorHAnsi"/>
                <w:sz w:val="18"/>
                <w:szCs w:val="18"/>
                <w:highlight w:val="cyan"/>
              </w:rPr>
              <w:lastRenderedPageBreak/>
              <w:br/>
              <w:t>For consideration of the Authors/TPDP</w:t>
            </w:r>
          </w:p>
        </w:tc>
      </w:tr>
      <w:tr w:rsidR="00576EA8" w:rsidRPr="004C21F4" w14:paraId="74BE92C0"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35074A6D"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217</w:t>
            </w:r>
          </w:p>
        </w:tc>
        <w:tc>
          <w:tcPr>
            <w:tcW w:w="1620" w:type="pct"/>
          </w:tcPr>
          <w:p w14:paraId="73BF0598"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t xml:space="preserve">The edited sequences are compared with those available in the public DNA database GenBank using the Basic Local Alignment Search Tool (BLAST), available at the National Center for Biotechnology Information (). </w:t>
            </w:r>
            <w:r w:rsidRPr="004C21F4">
              <w:rPr>
                <w:rFonts w:asciiTheme="minorHAnsi" w:hAnsiTheme="minorHAnsi" w:cstheme="minorHAnsi"/>
                <w:color w:val="FF00FF"/>
                <w:sz w:val="18"/>
                <w:szCs w:val="18"/>
                <w:u w:val="single"/>
              </w:rPr>
              <w:t>Further guidance on sequence editing and analysis may be found in Appendices 7 and 8 of PM 7/129 (EPPO, 2021).</w:t>
            </w:r>
            <w:r w:rsidRPr="004C21F4">
              <w:rPr>
                <w:rFonts w:asciiTheme="minorHAnsi" w:hAnsiTheme="minorHAnsi" w:cstheme="minorHAnsi"/>
                <w:sz w:val="18"/>
                <w:szCs w:val="18"/>
              </w:rPr>
              <w:t xml:space="preserve">). </w:t>
            </w:r>
          </w:p>
        </w:tc>
        <w:tc>
          <w:tcPr>
            <w:tcW w:w="1667" w:type="pct"/>
          </w:tcPr>
          <w:p w14:paraId="02469BCC" w14:textId="4CD0194D"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A reference to EPPO PM 7/129 (EPPO, 2021) can be added (https://doi.org/10.1111/epp.12724).</w:t>
            </w:r>
            <w:r w:rsidRPr="004C21F4">
              <w:rPr>
                <w:rFonts w:asciiTheme="minorHAnsi" w:hAnsiTheme="minorHAnsi" w:cstheme="minorHAnsi"/>
                <w:sz w:val="18"/>
                <w:szCs w:val="18"/>
              </w:rPr>
              <w:br/>
              <w:t>EPPO (2021), PM 7/129 (2) DNA barcoding as an identification tool for a number of regulated pests. EPPO Bull, 51: 100-143. https://doi.org/10.1111/epp.12724</w:t>
            </w:r>
          </w:p>
        </w:tc>
        <w:tc>
          <w:tcPr>
            <w:tcW w:w="1239" w:type="pct"/>
          </w:tcPr>
          <w:p w14:paraId="69D3931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bCs/>
                <w:sz w:val="18"/>
                <w:szCs w:val="18"/>
              </w:rPr>
            </w:pPr>
            <w:r w:rsidRPr="004C21F4">
              <w:rPr>
                <w:rFonts w:asciiTheme="minorHAnsi" w:hAnsiTheme="minorHAnsi" w:cstheme="minorHAnsi"/>
                <w:sz w:val="18"/>
                <w:szCs w:val="18"/>
              </w:rPr>
              <w:br/>
            </w:r>
            <w:r w:rsidRPr="004C21F4">
              <w:rPr>
                <w:rFonts w:asciiTheme="minorHAnsi" w:hAnsiTheme="minorHAnsi" w:cstheme="minorHAnsi"/>
                <w:b/>
                <w:bCs/>
                <w:sz w:val="18"/>
                <w:szCs w:val="18"/>
              </w:rPr>
              <w:t xml:space="preserve">Incorporated </w:t>
            </w:r>
          </w:p>
        </w:tc>
      </w:tr>
      <w:tr w:rsidR="00576EA8" w:rsidRPr="004C21F4" w14:paraId="796D6DD3"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4E10C5D6"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217</w:t>
            </w:r>
          </w:p>
        </w:tc>
        <w:tc>
          <w:tcPr>
            <w:tcW w:w="1620" w:type="pct"/>
          </w:tcPr>
          <w:p w14:paraId="748286C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highlight w:val="cyan"/>
              </w:rPr>
              <w:t>An identity with </w:t>
            </w:r>
            <w:r w:rsidRPr="004C21F4">
              <w:rPr>
                <w:rFonts w:asciiTheme="minorHAnsi" w:hAnsiTheme="minorHAnsi" w:cstheme="minorHAnsi"/>
                <w:i/>
                <w:sz w:val="18"/>
                <w:szCs w:val="18"/>
                <w:highlight w:val="cyan"/>
              </w:rPr>
              <w:t>M. tanajoa</w:t>
            </w:r>
            <w:r w:rsidRPr="004C21F4">
              <w:rPr>
                <w:rFonts w:asciiTheme="minorHAnsi" w:hAnsiTheme="minorHAnsi" w:cstheme="minorHAnsi"/>
                <w:sz w:val="18"/>
                <w:szCs w:val="18"/>
                <w:highlight w:val="cyan"/>
              </w:rPr>
              <w:t> equal to or higher than 97% based on a query cover higher than 90% is required to confirm species-level identification</w:t>
            </w:r>
            <w:r w:rsidRPr="004C21F4">
              <w:rPr>
                <w:rFonts w:asciiTheme="minorHAnsi" w:hAnsiTheme="minorHAnsi" w:cstheme="minorHAnsi"/>
                <w:sz w:val="18"/>
                <w:szCs w:val="18"/>
              </w:rPr>
              <w:t xml:space="preserve"> (Smith, Fisher and Hebert, 2005; </w:t>
            </w:r>
          </w:p>
        </w:tc>
        <w:tc>
          <w:tcPr>
            <w:tcW w:w="1667" w:type="pct"/>
          </w:tcPr>
          <w:p w14:paraId="4E792036"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r>
            <w:r w:rsidRPr="004C21F4">
              <w:rPr>
                <w:rFonts w:asciiTheme="minorHAnsi" w:hAnsiTheme="minorHAnsi" w:cstheme="minorHAnsi"/>
                <w:sz w:val="18"/>
                <w:szCs w:val="18"/>
              </w:rPr>
              <w:br/>
              <w:t>- 97% similarity is rather low, given that only one sequence is available in GenBank. The</w:t>
            </w:r>
            <w:r w:rsidRPr="004C21F4">
              <w:rPr>
                <w:rFonts w:asciiTheme="minorHAnsi" w:hAnsiTheme="minorHAnsi" w:cstheme="minorHAnsi"/>
                <w:sz w:val="18"/>
                <w:szCs w:val="18"/>
              </w:rPr>
              <w:br/>
              <w:t>“barcode gap” is usually ~2% difference (if it exists at all). I would not want to base a quarantine</w:t>
            </w:r>
            <w:r w:rsidRPr="004C21F4">
              <w:rPr>
                <w:rFonts w:asciiTheme="minorHAnsi" w:hAnsiTheme="minorHAnsi" w:cstheme="minorHAnsi"/>
                <w:sz w:val="18"/>
                <w:szCs w:val="18"/>
              </w:rPr>
              <w:br/>
              <w:t>action on a barcode ID less than about 99%.</w:t>
            </w:r>
          </w:p>
        </w:tc>
        <w:tc>
          <w:tcPr>
            <w:tcW w:w="1239" w:type="pct"/>
          </w:tcPr>
          <w:p w14:paraId="17D5A025" w14:textId="77777777"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t xml:space="preserve"> </w:t>
            </w:r>
            <w:r w:rsidRPr="004C21F4">
              <w:rPr>
                <w:rFonts w:asciiTheme="minorHAnsi" w:hAnsiTheme="minorHAnsi" w:cstheme="minorHAnsi"/>
                <w:sz w:val="18"/>
                <w:szCs w:val="18"/>
              </w:rPr>
              <w:br/>
            </w:r>
            <w:r w:rsidRPr="004C21F4">
              <w:rPr>
                <w:rFonts w:asciiTheme="minorHAnsi" w:hAnsiTheme="minorHAnsi" w:cstheme="minorHAnsi"/>
                <w:sz w:val="18"/>
                <w:szCs w:val="18"/>
                <w:highlight w:val="cyan"/>
              </w:rPr>
              <w:t>For consideration of the Authors/TPDP</w:t>
            </w:r>
          </w:p>
        </w:tc>
      </w:tr>
      <w:tr w:rsidR="00576EA8" w:rsidRPr="004C21F4" w14:paraId="011C250B" w14:textId="77777777" w:rsidTr="007B4AE4">
        <w:tc>
          <w:tcPr>
            <w:cnfStyle w:val="001000000000" w:firstRow="0" w:lastRow="0" w:firstColumn="1" w:lastColumn="0" w:oddVBand="0" w:evenVBand="0" w:oddHBand="0" w:evenHBand="0" w:firstRowFirstColumn="0" w:firstRowLastColumn="0" w:lastRowFirstColumn="0" w:lastRowLastColumn="0"/>
            <w:tcW w:w="474" w:type="pct"/>
          </w:tcPr>
          <w:p w14:paraId="761B354E" w14:textId="77777777" w:rsidR="006C5445" w:rsidRPr="004C21F4" w:rsidRDefault="006C5445" w:rsidP="0054726C">
            <w:pPr>
              <w:pStyle w:val="PleaseReviewReport"/>
              <w:jc w:val="center"/>
              <w:rPr>
                <w:rFonts w:asciiTheme="minorHAnsi" w:hAnsiTheme="minorHAnsi" w:cstheme="minorHAnsi"/>
                <w:sz w:val="18"/>
                <w:szCs w:val="18"/>
              </w:rPr>
            </w:pPr>
            <w:r w:rsidRPr="004C21F4">
              <w:rPr>
                <w:rFonts w:asciiTheme="minorHAnsi" w:hAnsiTheme="minorHAnsi" w:cstheme="minorHAnsi"/>
                <w:sz w:val="18"/>
                <w:szCs w:val="18"/>
              </w:rPr>
              <w:t>339</w:t>
            </w:r>
          </w:p>
        </w:tc>
        <w:tc>
          <w:tcPr>
            <w:tcW w:w="1620" w:type="pct"/>
          </w:tcPr>
          <w:p w14:paraId="0CD8E2B5" w14:textId="77777777" w:rsidR="006C5445" w:rsidRPr="004C21F4" w:rsidRDefault="006C5445" w:rsidP="0054726C">
            <w:pPr>
              <w:pStyle w:val="Normal1188"/>
              <w:cnfStyle w:val="000000000000" w:firstRow="0" w:lastRow="0" w:firstColumn="0" w:lastColumn="0" w:oddVBand="0" w:evenVBand="0" w:oddHBand="0" w:evenHBand="0" w:firstRowFirstColumn="0" w:firstRowLastColumn="0" w:lastRowFirstColumn="0" w:lastRowLastColumn="0"/>
              <w:rPr>
                <w:rFonts w:cstheme="minorHAnsi"/>
                <w:sz w:val="18"/>
                <w:szCs w:val="18"/>
              </w:rPr>
            </w:pPr>
            <w:r w:rsidRPr="004C21F4">
              <w:rPr>
                <w:rFonts w:cstheme="minorHAnsi"/>
                <w:b/>
                <w:sz w:val="18"/>
                <w:szCs w:val="18"/>
              </w:rPr>
              <w:t xml:space="preserve">Figure 8. </w:t>
            </w:r>
            <w:proofErr w:type="spellStart"/>
            <w:r w:rsidRPr="004C21F4">
              <w:rPr>
                <w:rFonts w:cstheme="minorHAnsi"/>
                <w:i/>
                <w:sz w:val="18"/>
                <w:szCs w:val="18"/>
              </w:rPr>
              <w:t>Mononychellus</w:t>
            </w:r>
            <w:proofErr w:type="spellEnd"/>
            <w:r w:rsidRPr="004C21F4">
              <w:rPr>
                <w:rFonts w:cstheme="minorHAnsi"/>
                <w:i/>
                <w:sz w:val="18"/>
                <w:szCs w:val="18"/>
              </w:rPr>
              <w:t xml:space="preserve"> </w:t>
            </w:r>
            <w:proofErr w:type="spellStart"/>
            <w:r w:rsidRPr="004C21F4">
              <w:rPr>
                <w:rFonts w:cstheme="minorHAnsi"/>
                <w:i/>
                <w:sz w:val="18"/>
                <w:szCs w:val="18"/>
              </w:rPr>
              <w:t>tanajoa</w:t>
            </w:r>
            <w:proofErr w:type="spellEnd"/>
            <w:r w:rsidRPr="004C21F4">
              <w:rPr>
                <w:rFonts w:cstheme="minorHAnsi"/>
                <w:sz w:val="18"/>
                <w:szCs w:val="18"/>
              </w:rPr>
              <w:t xml:space="preserve">, lateral view of aedeagus: </w:t>
            </w:r>
            <w:r w:rsidRPr="004C21F4">
              <w:rPr>
                <w:rFonts w:cstheme="minorHAnsi"/>
                <w:b/>
                <w:sz w:val="18"/>
                <w:szCs w:val="18"/>
              </w:rPr>
              <w:t>(A)</w:t>
            </w:r>
            <w:r w:rsidRPr="004C21F4">
              <w:rPr>
                <w:rFonts w:cstheme="minorHAnsi"/>
                <w:sz w:val="18"/>
                <w:szCs w:val="18"/>
              </w:rPr>
              <w:t xml:space="preserve"> photograph; </w:t>
            </w:r>
            <w:r w:rsidRPr="004C21F4">
              <w:rPr>
                <w:rFonts w:cstheme="minorHAnsi"/>
                <w:b/>
                <w:sz w:val="18"/>
                <w:szCs w:val="18"/>
              </w:rPr>
              <w:t>(B)</w:t>
            </w:r>
            <w:r w:rsidRPr="004C21F4">
              <w:rPr>
                <w:rFonts w:cstheme="minorHAnsi"/>
                <w:sz w:val="18"/>
                <w:szCs w:val="18"/>
              </w:rPr>
              <w:t xml:space="preserve"> line drawing</w:t>
            </w:r>
          </w:p>
        </w:tc>
        <w:tc>
          <w:tcPr>
            <w:tcW w:w="1667" w:type="pct"/>
          </w:tcPr>
          <w:p w14:paraId="777DE67C" w14:textId="28407B8A"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i/>
                <w:sz w:val="18"/>
                <w:szCs w:val="18"/>
              </w:rPr>
              <w:t>Category : TECHNICAL </w:t>
            </w:r>
            <w:r w:rsidRPr="004C21F4">
              <w:rPr>
                <w:rFonts w:asciiTheme="minorHAnsi" w:hAnsiTheme="minorHAnsi" w:cstheme="minorHAnsi"/>
                <w:sz w:val="18"/>
                <w:szCs w:val="18"/>
              </w:rPr>
              <w:br/>
              <w:t>It should be checked whether the (A) photograph and (B) line drawing in Figure 8 are definitely of this species. Figure 8 is in close accordance with the description in the reference [261]. However, it differs from that illustrated in Gutierrez, J. (1987) Experimental &amp; Applied Acarology, 3: 163-168.</w:t>
            </w:r>
          </w:p>
        </w:tc>
        <w:tc>
          <w:tcPr>
            <w:tcW w:w="1239" w:type="pct"/>
          </w:tcPr>
          <w:p w14:paraId="34000DBF" w14:textId="019918C3" w:rsidR="006C5445" w:rsidRPr="004C21F4" w:rsidRDefault="006C5445" w:rsidP="0054726C">
            <w:pPr>
              <w:pStyle w:val="PleaseReviewRepor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 w:val="18"/>
                <w:szCs w:val="18"/>
              </w:rPr>
            </w:pPr>
            <w:r w:rsidRPr="004C21F4">
              <w:rPr>
                <w:rFonts w:asciiTheme="minorHAnsi" w:hAnsiTheme="minorHAnsi" w:cstheme="minorHAnsi"/>
                <w:sz w:val="18"/>
                <w:szCs w:val="18"/>
              </w:rPr>
              <w:br/>
            </w:r>
            <w:r w:rsidR="00122A17" w:rsidRPr="004C21F4">
              <w:rPr>
                <w:rFonts w:asciiTheme="minorHAnsi" w:hAnsiTheme="minorHAnsi" w:cstheme="minorHAnsi"/>
                <w:sz w:val="18"/>
                <w:szCs w:val="18"/>
              </w:rPr>
              <w:t xml:space="preserve">For  Authors </w:t>
            </w:r>
          </w:p>
        </w:tc>
      </w:tr>
    </w:tbl>
    <w:p w14:paraId="4BF46B30" w14:textId="77777777" w:rsidR="000C7216" w:rsidRPr="0089342A" w:rsidRDefault="000C7216" w:rsidP="0089342A">
      <w:pPr>
        <w:rPr>
          <w:rFonts w:ascii="Times New Roman" w:eastAsia="Times" w:hAnsi="Times New Roman" w:cs="Times New Roman"/>
          <w:caps/>
          <w:sz w:val="24"/>
          <w:lang w:val="en-GB"/>
        </w:rPr>
      </w:pPr>
    </w:p>
    <w:sectPr w:rsidR="000C7216" w:rsidRPr="0089342A" w:rsidSect="00226689">
      <w:headerReference w:type="even" r:id="rId10"/>
      <w:headerReference w:type="default" r:id="rId11"/>
      <w:footerReference w:type="even" r:id="rId12"/>
      <w:footerReference w:type="default" r:id="rId13"/>
      <w:headerReference w:type="first" r:id="rId14"/>
      <w:footerReference w:type="first" r:id="rId15"/>
      <w:pgSz w:w="11906" w:h="16838" w:code="9"/>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4777F2" w14:textId="77777777" w:rsidR="0039264F" w:rsidRDefault="0039264F" w:rsidP="0089342A">
      <w:pPr>
        <w:spacing w:after="0" w:line="240" w:lineRule="auto"/>
      </w:pPr>
      <w:r>
        <w:separator/>
      </w:r>
    </w:p>
  </w:endnote>
  <w:endnote w:type="continuationSeparator" w:id="0">
    <w:p w14:paraId="24DA28BE" w14:textId="77777777" w:rsidR="0039264F" w:rsidRDefault="0039264F" w:rsidP="00893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9ED4EF" w14:textId="27AC9739" w:rsidR="00226689" w:rsidRPr="00226689" w:rsidRDefault="00226689" w:rsidP="00226689">
    <w:pPr>
      <w:pStyle w:val="IPPFooter"/>
    </w:pP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sidR="009C5326">
      <w:rPr>
        <w:rStyle w:val="PageNumber"/>
        <w:b/>
        <w:noProof/>
      </w:rPr>
      <w:t>4</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sidR="009C5326">
      <w:rPr>
        <w:rStyle w:val="PageNumber"/>
        <w:b/>
        <w:noProof/>
      </w:rPr>
      <w:t>4</w:t>
    </w:r>
    <w:r w:rsidRPr="00226689">
      <w:rPr>
        <w:rStyle w:val="PageNumber"/>
        <w:b/>
      </w:rPr>
      <w:fldChar w:fldCharType="end"/>
    </w:r>
    <w:r>
      <w:rPr>
        <w:rStyle w:val="PageNumber"/>
        <w:b/>
      </w:rPr>
      <w:tab/>
    </w:r>
    <w:r w:rsidRPr="00226689">
      <w:t>Internationa</w:t>
    </w:r>
    <w:r>
      <w:t>l Plant Protection Convention</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0BCD20" w14:textId="70AA7FC0" w:rsidR="00226689" w:rsidRPr="00226689" w:rsidRDefault="00226689" w:rsidP="00226689">
    <w:pPr>
      <w:pStyle w:val="IPPFooter"/>
    </w:pPr>
    <w:r w:rsidRPr="00226689">
      <w:t>Internationa</w:t>
    </w:r>
    <w:r>
      <w:t>l Plant Protection Convention</w:t>
    </w:r>
    <w:r>
      <w:tab/>
    </w: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sidR="00F00706">
      <w:rPr>
        <w:rStyle w:val="PageNumber"/>
        <w:b/>
        <w:noProof/>
      </w:rPr>
      <w:t>3</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sidR="00F00706">
      <w:rPr>
        <w:rStyle w:val="PageNumber"/>
        <w:b/>
        <w:noProof/>
      </w:rPr>
      <w:t>4</w:t>
    </w:r>
    <w:r w:rsidRPr="00226689">
      <w:rPr>
        <w:rStyle w:val="PageNumber"/>
        <w: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57A4C2" w14:textId="6C7CC646" w:rsidR="00226689" w:rsidRPr="00226689" w:rsidRDefault="00226689" w:rsidP="00226689">
    <w:pPr>
      <w:pStyle w:val="IPPFooter"/>
    </w:pPr>
    <w:r w:rsidRPr="00226689">
      <w:t>Internationa</w:t>
    </w:r>
    <w:r>
      <w:t>l Plant Protection Convention</w:t>
    </w:r>
    <w:r>
      <w:tab/>
    </w:r>
    <w:r w:rsidRPr="00226689">
      <w:rPr>
        <w:rStyle w:val="PageNumber"/>
        <w:b/>
      </w:rPr>
      <w:t xml:space="preserve">Page </w:t>
    </w:r>
    <w:r w:rsidRPr="00226689">
      <w:rPr>
        <w:rStyle w:val="PageNumber"/>
        <w:b/>
      </w:rPr>
      <w:fldChar w:fldCharType="begin"/>
    </w:r>
    <w:r w:rsidRPr="00226689">
      <w:rPr>
        <w:rStyle w:val="PageNumber"/>
        <w:b/>
      </w:rPr>
      <w:instrText xml:space="preserve"> PAGE </w:instrText>
    </w:r>
    <w:r w:rsidRPr="00226689">
      <w:rPr>
        <w:rStyle w:val="PageNumber"/>
        <w:b/>
      </w:rPr>
      <w:fldChar w:fldCharType="separate"/>
    </w:r>
    <w:r w:rsidR="009C5326">
      <w:rPr>
        <w:rStyle w:val="PageNumber"/>
        <w:b/>
        <w:noProof/>
      </w:rPr>
      <w:t>1</w:t>
    </w:r>
    <w:r w:rsidRPr="00226689">
      <w:rPr>
        <w:rStyle w:val="PageNumber"/>
        <w:b/>
      </w:rPr>
      <w:fldChar w:fldCharType="end"/>
    </w:r>
    <w:r w:rsidRPr="00226689">
      <w:rPr>
        <w:rStyle w:val="PageNumber"/>
        <w:b/>
      </w:rPr>
      <w:t xml:space="preserve"> of </w:t>
    </w:r>
    <w:r w:rsidRPr="00226689">
      <w:rPr>
        <w:rStyle w:val="PageNumber"/>
        <w:b/>
      </w:rPr>
      <w:fldChar w:fldCharType="begin"/>
    </w:r>
    <w:r w:rsidRPr="00226689">
      <w:rPr>
        <w:rStyle w:val="PageNumber"/>
        <w:b/>
      </w:rPr>
      <w:instrText xml:space="preserve"> NUMPAGES </w:instrText>
    </w:r>
    <w:r w:rsidRPr="00226689">
      <w:rPr>
        <w:rStyle w:val="PageNumber"/>
        <w:b/>
      </w:rPr>
      <w:fldChar w:fldCharType="separate"/>
    </w:r>
    <w:r w:rsidR="009C5326">
      <w:rPr>
        <w:rStyle w:val="PageNumber"/>
        <w:b/>
        <w:noProof/>
      </w:rPr>
      <w:t>4</w:t>
    </w:r>
    <w:r w:rsidRPr="00226689">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6AF96A" w14:textId="77777777" w:rsidR="0039264F" w:rsidRDefault="0039264F" w:rsidP="0089342A">
      <w:pPr>
        <w:spacing w:after="0" w:line="240" w:lineRule="auto"/>
      </w:pPr>
      <w:r>
        <w:separator/>
      </w:r>
    </w:p>
  </w:footnote>
  <w:footnote w:type="continuationSeparator" w:id="0">
    <w:p w14:paraId="08E8A220" w14:textId="77777777" w:rsidR="0039264F" w:rsidRDefault="0039264F" w:rsidP="0089342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3F3C8" w14:textId="2305858F" w:rsidR="00226689" w:rsidRPr="00226689" w:rsidRDefault="00F00706" w:rsidP="00226689">
    <w:pPr>
      <w:pStyle w:val="IPPHeader"/>
    </w:pPr>
    <w:r w:rsidRPr="00F00706">
      <w:t>03_TPDP_Tel_2023_Mar</w:t>
    </w:r>
    <w:r w:rsidR="00226689" w:rsidRPr="00226689">
      <w:tab/>
      <w:t xml:space="preserve">Summary of major comments received: </w:t>
    </w:r>
    <w:r w:rsidR="00226689" w:rsidRPr="00226689">
      <w:rPr>
        <w:i/>
      </w:rPr>
      <w:t xml:space="preserve">M. </w:t>
    </w:r>
    <w:proofErr w:type="spellStart"/>
    <w:r w:rsidR="00226689" w:rsidRPr="00226689">
      <w:rPr>
        <w:i/>
      </w:rPr>
      <w:t>tanajoa</w:t>
    </w:r>
    <w:proofErr w:type="spellEnd"/>
    <w:r w:rsidR="00226689" w:rsidRPr="00226689">
      <w:t xml:space="preserve"> (2018-006)</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E44B31" w14:textId="1F8DFB8B" w:rsidR="00226689" w:rsidRDefault="00226689" w:rsidP="00226689">
    <w:pPr>
      <w:pStyle w:val="IPPHeader"/>
    </w:pPr>
    <w:r w:rsidRPr="00226689">
      <w:t xml:space="preserve">Summary of major comments received: </w:t>
    </w:r>
    <w:r w:rsidRPr="00226689">
      <w:rPr>
        <w:i/>
      </w:rPr>
      <w:t xml:space="preserve">M. </w:t>
    </w:r>
    <w:proofErr w:type="spellStart"/>
    <w:r w:rsidRPr="00226689">
      <w:rPr>
        <w:i/>
      </w:rPr>
      <w:t>tanajoa</w:t>
    </w:r>
    <w:proofErr w:type="spellEnd"/>
    <w:r w:rsidRPr="00226689">
      <w:t xml:space="preserve"> (2018-006)</w:t>
    </w:r>
    <w:r>
      <w:tab/>
    </w:r>
    <w:r w:rsidR="00F00706" w:rsidRPr="00F00706">
      <w:t>03_TPDP_Tel_2023_Mar</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A1542" w14:textId="0B74C69E" w:rsidR="00226689" w:rsidRDefault="00226689" w:rsidP="00226689">
    <w:pPr>
      <w:pStyle w:val="IPPHeader"/>
      <w:ind w:left="1134"/>
    </w:pPr>
    <w:r>
      <w:rPr>
        <w:noProof/>
      </w:rPr>
      <w:drawing>
        <wp:anchor distT="0" distB="0" distL="114300" distR="114300" simplePos="0" relativeHeight="251660288" behindDoc="0" locked="0" layoutInCell="1" allowOverlap="0" wp14:anchorId="6F23C846" wp14:editId="4AC711B3">
          <wp:simplePos x="0" y="0"/>
          <wp:positionH relativeFrom="page">
            <wp:posOffset>-28575</wp:posOffset>
          </wp:positionH>
          <wp:positionV relativeFrom="paragraph">
            <wp:posOffset>-530225</wp:posOffset>
          </wp:positionV>
          <wp:extent cx="7629525" cy="46355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9525" cy="46355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51FEEC00" wp14:editId="3BB08C06">
          <wp:simplePos x="0" y="0"/>
          <wp:positionH relativeFrom="column">
            <wp:posOffset>-12700</wp:posOffset>
          </wp:positionH>
          <wp:positionV relativeFrom="paragraph">
            <wp:posOffset>3810</wp:posOffset>
          </wp:positionV>
          <wp:extent cx="632460" cy="321310"/>
          <wp:effectExtent l="0" t="0" r="0" b="0"/>
          <wp:wrapSquare wrapText="bothSides"/>
          <wp:docPr id="5" name="Picture 5"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PPCLog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32460" cy="321310"/>
                  </a:xfrm>
                  <a:prstGeom prst="rect">
                    <a:avLst/>
                  </a:prstGeom>
                  <a:noFill/>
                  <a:ln>
                    <a:noFill/>
                  </a:ln>
                </pic:spPr>
              </pic:pic>
            </a:graphicData>
          </a:graphic>
          <wp14:sizeRelH relativeFrom="page">
            <wp14:pctWidth>0</wp14:pctWidth>
          </wp14:sizeRelH>
          <wp14:sizeRelV relativeFrom="page">
            <wp14:pctHeight>0</wp14:pctHeight>
          </wp14:sizeRelV>
        </wp:anchor>
      </w:drawing>
    </w:r>
    <w:r w:rsidRPr="0029695F">
      <w:t>Internatio</w:t>
    </w:r>
    <w:r>
      <w:t>nal Plant Protection Convention</w:t>
    </w:r>
    <w:r>
      <w:tab/>
    </w:r>
    <w:r w:rsidR="00F00706" w:rsidRPr="00F00706">
      <w:t>03_TPDP_Tel_2023_Mar</w:t>
    </w:r>
    <w:r>
      <w:br/>
    </w:r>
    <w:r>
      <w:rPr>
        <w:rFonts w:eastAsia="Times" w:cs="Arial"/>
        <w:bCs/>
        <w:szCs w:val="18"/>
      </w:rPr>
      <w:t xml:space="preserve">Summary of major comments received: </w:t>
    </w:r>
    <w:proofErr w:type="spellStart"/>
    <w:r w:rsidRPr="00F14024">
      <w:rPr>
        <w:rFonts w:eastAsia="Times" w:cs="Arial"/>
        <w:bCs/>
        <w:i/>
        <w:szCs w:val="18"/>
      </w:rPr>
      <w:t>Mononychelus</w:t>
    </w:r>
    <w:proofErr w:type="spellEnd"/>
    <w:r w:rsidRPr="00F14024">
      <w:rPr>
        <w:rFonts w:eastAsia="Times" w:cs="Arial"/>
        <w:bCs/>
        <w:i/>
        <w:szCs w:val="18"/>
      </w:rPr>
      <w:t xml:space="preserve"> </w:t>
    </w:r>
    <w:proofErr w:type="spellStart"/>
    <w:r w:rsidRPr="00F14024">
      <w:rPr>
        <w:rFonts w:eastAsia="Times" w:cs="Arial"/>
        <w:bCs/>
        <w:i/>
        <w:szCs w:val="18"/>
      </w:rPr>
      <w:t>tanajoa</w:t>
    </w:r>
    <w:proofErr w:type="spellEnd"/>
    <w:r>
      <w:rPr>
        <w:rFonts w:eastAsia="Times" w:cs="Arial"/>
        <w:bCs/>
        <w:szCs w:val="18"/>
      </w:rPr>
      <w:t xml:space="preserve"> (2018-006)</w:t>
    </w:r>
    <w:r w:rsidRPr="009323FE">
      <w:rPr>
        <w:i/>
      </w:rPr>
      <w:tab/>
      <w:t xml:space="preserve">Agenda item: </w:t>
    </w:r>
    <w:r>
      <w:rPr>
        <w:i/>
      </w:rPr>
      <w:t>4</w:t>
    </w:r>
    <w:r w:rsidRPr="009323FE">
      <w:rPr>
        <w:i/>
      </w:rPr>
      <w:t>.1</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C0A6C"/>
    <w:multiLevelType w:val="multilevel"/>
    <w:tmpl w:val="06E871E4"/>
    <w:numStyleLink w:val="IPPParagraphnumberedlist"/>
  </w:abstractNum>
  <w:abstractNum w:abstractNumId="1" w15:restartNumberingAfterBreak="0">
    <w:nsid w:val="0A4935BE"/>
    <w:multiLevelType w:val="hybridMultilevel"/>
    <w:tmpl w:val="46DA73A4"/>
    <w:lvl w:ilvl="0" w:tplc="2E36419A">
      <w:start w:val="1"/>
      <w:numFmt w:val="decimal"/>
      <w:lvlText w:val="%1."/>
      <w:lvlJc w:val="left"/>
      <w:pPr>
        <w:ind w:left="360" w:hanging="360"/>
      </w:pPr>
      <w:rPr>
        <w:rFonts w:hint="default"/>
        <w:b w:val="0"/>
        <w:color w:val="0070C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num w:numId="1">
    <w:abstractNumId w:val="1"/>
  </w:num>
  <w:num w:numId="2">
    <w:abstractNumId w:val="2"/>
  </w:num>
  <w:num w:numId="3">
    <w:abstractNumId w:val="0"/>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LAwMTSzMDExNjAzNrJQ0lEKTi0uzszPAykwrAUAeR2/dSwAAAA="/>
  </w:docVars>
  <w:rsids>
    <w:rsidRoot w:val="0089342A"/>
    <w:rsid w:val="000421BA"/>
    <w:rsid w:val="000627B7"/>
    <w:rsid w:val="000732FE"/>
    <w:rsid w:val="00095340"/>
    <w:rsid w:val="0009679B"/>
    <w:rsid w:val="000A01FE"/>
    <w:rsid w:val="000C7216"/>
    <w:rsid w:val="000D0737"/>
    <w:rsid w:val="000D3F7B"/>
    <w:rsid w:val="000E69E2"/>
    <w:rsid w:val="00104025"/>
    <w:rsid w:val="00104B42"/>
    <w:rsid w:val="00121DA9"/>
    <w:rsid w:val="00122A17"/>
    <w:rsid w:val="00142DEE"/>
    <w:rsid w:val="001819A6"/>
    <w:rsid w:val="002147FE"/>
    <w:rsid w:val="00226689"/>
    <w:rsid w:val="0023247A"/>
    <w:rsid w:val="00276004"/>
    <w:rsid w:val="00280850"/>
    <w:rsid w:val="002E6CC3"/>
    <w:rsid w:val="002F3ECE"/>
    <w:rsid w:val="003155FD"/>
    <w:rsid w:val="00356238"/>
    <w:rsid w:val="00375249"/>
    <w:rsid w:val="0039264F"/>
    <w:rsid w:val="003D3ADE"/>
    <w:rsid w:val="0041753E"/>
    <w:rsid w:val="004C21F4"/>
    <w:rsid w:val="004C3442"/>
    <w:rsid w:val="004E6C28"/>
    <w:rsid w:val="00501001"/>
    <w:rsid w:val="0051374F"/>
    <w:rsid w:val="00546B12"/>
    <w:rsid w:val="0056784C"/>
    <w:rsid w:val="00576EA8"/>
    <w:rsid w:val="005A6ED6"/>
    <w:rsid w:val="005C10B1"/>
    <w:rsid w:val="00605DED"/>
    <w:rsid w:val="006065EF"/>
    <w:rsid w:val="00675B41"/>
    <w:rsid w:val="006C5445"/>
    <w:rsid w:val="006E4341"/>
    <w:rsid w:val="006F10D9"/>
    <w:rsid w:val="00742D4E"/>
    <w:rsid w:val="00794323"/>
    <w:rsid w:val="007B15D7"/>
    <w:rsid w:val="007B4AE4"/>
    <w:rsid w:val="007E6564"/>
    <w:rsid w:val="007F353F"/>
    <w:rsid w:val="0087014A"/>
    <w:rsid w:val="00871361"/>
    <w:rsid w:val="0089342A"/>
    <w:rsid w:val="008B29C3"/>
    <w:rsid w:val="008C7B0F"/>
    <w:rsid w:val="00924A0D"/>
    <w:rsid w:val="00926B0F"/>
    <w:rsid w:val="009C5326"/>
    <w:rsid w:val="009C6899"/>
    <w:rsid w:val="00A2237A"/>
    <w:rsid w:val="00A32392"/>
    <w:rsid w:val="00A6273A"/>
    <w:rsid w:val="00A86293"/>
    <w:rsid w:val="00B521BD"/>
    <w:rsid w:val="00BA580D"/>
    <w:rsid w:val="00BB7A9C"/>
    <w:rsid w:val="00BC12DB"/>
    <w:rsid w:val="00BC647C"/>
    <w:rsid w:val="00BD1594"/>
    <w:rsid w:val="00BF4891"/>
    <w:rsid w:val="00C115A9"/>
    <w:rsid w:val="00C1396C"/>
    <w:rsid w:val="00C54B18"/>
    <w:rsid w:val="00CF40DE"/>
    <w:rsid w:val="00D25EC5"/>
    <w:rsid w:val="00D770D2"/>
    <w:rsid w:val="00DF254A"/>
    <w:rsid w:val="00E231F9"/>
    <w:rsid w:val="00E853DA"/>
    <w:rsid w:val="00EA2E55"/>
    <w:rsid w:val="00ED698F"/>
    <w:rsid w:val="00F00706"/>
    <w:rsid w:val="00F25C01"/>
    <w:rsid w:val="00F66677"/>
    <w:rsid w:val="00F813BB"/>
    <w:rsid w:val="00FE7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447110"/>
  <w15:chartTrackingRefBased/>
  <w15:docId w15:val="{DFE769F6-26FB-4479-8DD3-80196CDAA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sid w:val="0089342A"/>
    <w:rPr>
      <w:vertAlign w:val="superscript"/>
    </w:rPr>
  </w:style>
  <w:style w:type="character" w:styleId="Hyperlink">
    <w:name w:val="Hyperlink"/>
    <w:basedOn w:val="DefaultParagraphFont"/>
    <w:uiPriority w:val="99"/>
    <w:unhideWhenUsed/>
    <w:rsid w:val="0089342A"/>
    <w:rPr>
      <w:color w:val="0563C1" w:themeColor="hyperlink"/>
      <w:u w:val="single"/>
    </w:rPr>
  </w:style>
  <w:style w:type="paragraph" w:customStyle="1" w:styleId="IPPFootnote">
    <w:name w:val="IPP Footnote"/>
    <w:basedOn w:val="Normal"/>
    <w:qFormat/>
    <w:rsid w:val="0089342A"/>
    <w:pPr>
      <w:tabs>
        <w:tab w:val="left" w:pos="0"/>
        <w:tab w:val="left" w:pos="28"/>
      </w:tabs>
      <w:spacing w:after="60" w:line="240" w:lineRule="auto"/>
      <w:jc w:val="both"/>
    </w:pPr>
    <w:rPr>
      <w:rFonts w:ascii="Times New Roman" w:eastAsia="Times New Roman" w:hAnsi="Times New Roman" w:cs="Times New Roman"/>
      <w:sz w:val="20"/>
      <w:szCs w:val="24"/>
      <w:lang w:val="en-GB"/>
    </w:rPr>
  </w:style>
  <w:style w:type="paragraph" w:customStyle="1" w:styleId="PleaseReviewReportTitle">
    <w:name w:val="PleaseReview_ReportTitle"/>
    <w:rsid w:val="0089342A"/>
    <w:pPr>
      <w:spacing w:before="150" w:after="50"/>
    </w:pPr>
    <w:rPr>
      <w:rFonts w:ascii="Verdana" w:hAnsi="Verdana" w:cs="Verdana"/>
      <w:b/>
      <w:noProof/>
      <w:sz w:val="18"/>
      <w:szCs w:val="18"/>
    </w:rPr>
  </w:style>
  <w:style w:type="table" w:styleId="TableGrid">
    <w:name w:val="Table Grid"/>
    <w:basedOn w:val="TableNormal"/>
    <w:uiPriority w:val="39"/>
    <w:rsid w:val="000C72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easeReviewReportHeader">
    <w:name w:val="PleaseReview_ReportHeader"/>
    <w:rsid w:val="006C5445"/>
    <w:pPr>
      <w:spacing w:before="40" w:after="40"/>
    </w:pPr>
    <w:rPr>
      <w:rFonts w:ascii="Verdana" w:hAnsi="Verdana" w:cs="Verdana"/>
      <w:b/>
      <w:noProof/>
      <w:sz w:val="16"/>
      <w:szCs w:val="16"/>
    </w:rPr>
  </w:style>
  <w:style w:type="paragraph" w:customStyle="1" w:styleId="PleaseReviewReport">
    <w:name w:val="PleaseReview_Report"/>
    <w:rsid w:val="006C5445"/>
    <w:pPr>
      <w:spacing w:before="5" w:after="5"/>
    </w:pPr>
    <w:rPr>
      <w:rFonts w:ascii="Verdana" w:hAnsi="Verdana" w:cs="Verdana"/>
      <w:noProof/>
      <w:sz w:val="16"/>
      <w:szCs w:val="16"/>
    </w:rPr>
  </w:style>
  <w:style w:type="paragraph" w:customStyle="1" w:styleId="Normal1188">
    <w:name w:val="Normal_1188"/>
    <w:qFormat/>
    <w:rsid w:val="006C5445"/>
  </w:style>
  <w:style w:type="table" w:customStyle="1" w:styleId="NormalTable1188">
    <w:name w:val="Normal Table_1188"/>
    <w:uiPriority w:val="99"/>
    <w:semiHidden/>
    <w:unhideWhenUsed/>
    <w:rsid w:val="006C5445"/>
    <w:tblPr>
      <w:tblInd w:w="0" w:type="dxa"/>
      <w:tblCellMar>
        <w:top w:w="0" w:type="dxa"/>
        <w:left w:w="108" w:type="dxa"/>
        <w:bottom w:w="0" w:type="dxa"/>
        <w:right w:w="108" w:type="dxa"/>
      </w:tblCellMar>
    </w:tblPr>
  </w:style>
  <w:style w:type="paragraph" w:customStyle="1" w:styleId="IPPParagraphnumbering1188">
    <w:name w:val="IPP Paragraph numbering_1188"/>
    <w:basedOn w:val="Normal1188"/>
    <w:link w:val="IPPParagraphnumberingZchn1188"/>
    <w:qFormat/>
    <w:rsid w:val="006C5445"/>
    <w:pPr>
      <w:tabs>
        <w:tab w:val="num" w:pos="720"/>
      </w:tabs>
      <w:spacing w:after="180" w:line="240" w:lineRule="auto"/>
      <w:ind w:left="720" w:hanging="720"/>
      <w:jc w:val="both"/>
    </w:pPr>
    <w:rPr>
      <w:rFonts w:ascii="Times New Roman" w:eastAsia="Times" w:hAnsi="Times New Roman" w:cs="Times New Roman"/>
      <w:szCs w:val="24"/>
    </w:rPr>
  </w:style>
  <w:style w:type="character" w:customStyle="1" w:styleId="IPPParagraphnumberingZchn1188">
    <w:name w:val="IPP Paragraph numbering Zchn_1188"/>
    <w:basedOn w:val="DefaultParagraphFont"/>
    <w:link w:val="IPPParagraphnumbering1188"/>
    <w:qFormat/>
    <w:rsid w:val="006C5445"/>
    <w:rPr>
      <w:rFonts w:ascii="Times New Roman" w:eastAsia="Times" w:hAnsi="Times New Roman" w:cs="Times New Roman"/>
      <w:szCs w:val="24"/>
    </w:rPr>
  </w:style>
  <w:style w:type="table" w:styleId="GridTable1Light-Accent1">
    <w:name w:val="Grid Table 1 Light Accent 1"/>
    <w:basedOn w:val="TableNormal"/>
    <w:uiPriority w:val="46"/>
    <w:rsid w:val="00F25C01"/>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PlainTable3">
    <w:name w:val="Plain Table 3"/>
    <w:basedOn w:val="TableNormal"/>
    <w:uiPriority w:val="43"/>
    <w:rsid w:val="00F25C01"/>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Header">
    <w:name w:val="header"/>
    <w:basedOn w:val="Normal"/>
    <w:link w:val="HeaderChar"/>
    <w:uiPriority w:val="99"/>
    <w:unhideWhenUsed/>
    <w:rsid w:val="00226689"/>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6689"/>
  </w:style>
  <w:style w:type="paragraph" w:styleId="Footer">
    <w:name w:val="footer"/>
    <w:basedOn w:val="Normal"/>
    <w:link w:val="FooterChar"/>
    <w:uiPriority w:val="99"/>
    <w:unhideWhenUsed/>
    <w:rsid w:val="00226689"/>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6689"/>
  </w:style>
  <w:style w:type="paragraph" w:customStyle="1" w:styleId="IPPHeader">
    <w:name w:val="IPP Header"/>
    <w:basedOn w:val="Normal"/>
    <w:qFormat/>
    <w:rsid w:val="00226689"/>
    <w:pPr>
      <w:pBdr>
        <w:bottom w:val="single" w:sz="4" w:space="4" w:color="auto"/>
      </w:pBdr>
      <w:tabs>
        <w:tab w:val="left" w:pos="1134"/>
        <w:tab w:val="right" w:pos="9072"/>
      </w:tabs>
      <w:spacing w:after="120" w:line="240" w:lineRule="auto"/>
    </w:pPr>
    <w:rPr>
      <w:rFonts w:ascii="Arial" w:eastAsia="MS Mincho" w:hAnsi="Arial" w:cs="Times New Roman"/>
      <w:sz w:val="18"/>
      <w:szCs w:val="24"/>
    </w:rPr>
  </w:style>
  <w:style w:type="numbering" w:customStyle="1" w:styleId="IPPParagraphnumberedlist">
    <w:name w:val="IPP Paragraph numbered list"/>
    <w:rsid w:val="00226689"/>
    <w:pPr>
      <w:numPr>
        <w:numId w:val="2"/>
      </w:numPr>
    </w:pPr>
  </w:style>
  <w:style w:type="paragraph" w:customStyle="1" w:styleId="IPPParagraphnumbering">
    <w:name w:val="IPP Paragraph numbering"/>
    <w:basedOn w:val="Normal"/>
    <w:qFormat/>
    <w:rsid w:val="00226689"/>
    <w:pPr>
      <w:numPr>
        <w:numId w:val="3"/>
      </w:numPr>
      <w:spacing w:after="180" w:line="240" w:lineRule="auto"/>
      <w:jc w:val="both"/>
    </w:pPr>
    <w:rPr>
      <w:rFonts w:ascii="Times New Roman" w:eastAsia="Times" w:hAnsi="Times New Roman" w:cs="Times New Roman"/>
      <w:szCs w:val="24"/>
    </w:rPr>
  </w:style>
  <w:style w:type="character" w:styleId="PageNumber">
    <w:name w:val="page number"/>
    <w:rsid w:val="00226689"/>
    <w:rPr>
      <w:rFonts w:ascii="Arial" w:hAnsi="Arial"/>
      <w:b/>
      <w:sz w:val="18"/>
    </w:rPr>
  </w:style>
  <w:style w:type="paragraph" w:customStyle="1" w:styleId="IPPFooter">
    <w:name w:val="IPP Footer"/>
    <w:basedOn w:val="IPPHeader"/>
    <w:next w:val="PlainText"/>
    <w:qFormat/>
    <w:rsid w:val="00226689"/>
    <w:pPr>
      <w:pBdr>
        <w:top w:val="single" w:sz="4" w:space="4" w:color="auto"/>
        <w:bottom w:val="none" w:sz="0" w:space="0" w:color="auto"/>
      </w:pBdr>
      <w:tabs>
        <w:tab w:val="clear" w:pos="1134"/>
      </w:tabs>
      <w:jc w:val="right"/>
    </w:pPr>
    <w:rPr>
      <w:b/>
    </w:rPr>
  </w:style>
  <w:style w:type="paragraph" w:styleId="PlainText">
    <w:name w:val="Plain Text"/>
    <w:basedOn w:val="Normal"/>
    <w:link w:val="PlainTextChar"/>
    <w:uiPriority w:val="99"/>
    <w:semiHidden/>
    <w:unhideWhenUsed/>
    <w:rsid w:val="00226689"/>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semiHidden/>
    <w:rsid w:val="00226689"/>
    <w:rPr>
      <w:rFonts w:ascii="Consolas" w:hAnsi="Consolas"/>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9519679B1A8B4091DBA33CE26F55F5" ma:contentTypeVersion="17" ma:contentTypeDescription="Create a new document." ma:contentTypeScope="" ma:versionID="b97c355e8ddb83b53e10132d4d0c39dd">
  <xsd:schema xmlns:xsd="http://www.w3.org/2001/XMLSchema" xmlns:xs="http://www.w3.org/2001/XMLSchema" xmlns:p="http://schemas.microsoft.com/office/2006/metadata/properties" xmlns:ns2="a05d7f75-f42e-4288-8809-604fd4d9691f" xmlns:ns3="ea6feb38-a85a-45e8-92e9-814486bbe375" targetNamespace="http://schemas.microsoft.com/office/2006/metadata/properties" ma:root="true" ma:fieldsID="7ee668c2352abc57114714e7d7c6a8d9" ns2:_="" ns3:_="">
    <xsd:import namespace="a05d7f75-f42e-4288-8809-604fd4d9691f"/>
    <xsd:import namespace="ea6feb38-a85a-45e8-92e9-814486bbe37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_Flow_SignoffStatu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5d7f75-f42e-4288-8809-604fd4d9691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40dbf57-1e7b-4a73-94c8-cbcaaea3fe5a}" ma:internalName="TaxCatchAll" ma:showField="CatchAllData" ma:web="a05d7f75-f42e-4288-8809-604fd4d9691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6feb38-a85a-45e8-92e9-814486bbe37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_Flow_SignoffStatus" ma:index="21" nillable="true" ma:displayName="Sign-off status" ma:internalName="Sign_x002d_off_x0020_status">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a05d7f75-f42e-4288-8809-604fd4d9691f" xsi:nil="true"/>
    <lcf76f155ced4ddcb4097134ff3c332f xmlns="ea6feb38-a85a-45e8-92e9-814486bbe375">
      <Terms xmlns="http://schemas.microsoft.com/office/infopath/2007/PartnerControls"/>
    </lcf76f155ced4ddcb4097134ff3c332f>
    <_Flow_SignoffStatus xmlns="ea6feb38-a85a-45e8-92e9-814486bbe37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A09C6D-61D1-417C-939F-A4D60A82E9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5d7f75-f42e-4288-8809-604fd4d9691f"/>
    <ds:schemaRef ds:uri="ea6feb38-a85a-45e8-92e9-814486bbe3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BD37E70-5D76-49C2-A764-E9448EF1285D}">
  <ds:schemaRefs>
    <ds:schemaRef ds:uri="http://schemas.microsoft.com/office/2006/metadata/properties"/>
    <ds:schemaRef ds:uri="http://schemas.microsoft.com/office/infopath/2007/PartnerControls"/>
    <ds:schemaRef ds:uri="a05d7f75-f42e-4288-8809-604fd4d9691f"/>
    <ds:schemaRef ds:uri="ea6feb38-a85a-45e8-92e9-814486bbe375"/>
  </ds:schemaRefs>
</ds:datastoreItem>
</file>

<file path=customXml/itemProps3.xml><?xml version="1.0" encoding="utf-8"?>
<ds:datastoreItem xmlns:ds="http://schemas.openxmlformats.org/officeDocument/2006/customXml" ds:itemID="{CF12B9D6-C85F-42D2-BB64-4C749CD839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1635</Words>
  <Characters>9828</Characters>
  <Application>Microsoft Office Word</Application>
  <DocSecurity>0</DocSecurity>
  <Lines>756</Lines>
  <Paragraphs>674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Juliet V. GOLDSMITH</dc:creator>
  <cp:keywords/>
  <dc:description/>
  <cp:lastModifiedBy>Moreira, Adriana (NSP)</cp:lastModifiedBy>
  <cp:revision>4</cp:revision>
  <dcterms:created xsi:type="dcterms:W3CDTF">2022-10-24T19:06:00Z</dcterms:created>
  <dcterms:modified xsi:type="dcterms:W3CDTF">2023-03-02T16:52:00Z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7b835325-c240-4ec5-a3c2-794c3c6cd092</vt:lpwstr>
  </property>
  <property fmtid="{D5CDD505-2E9C-101B-9397-08002B2CF9AE}" pid="3" name="ContentTypeId">
    <vt:lpwstr>0x010100299519679B1A8B4091DBA33CE26F55F5</vt:lpwstr>
  </property>
</Properties>
</file>