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ADA06" w14:textId="3AEA1ABF" w:rsidR="006B3489" w:rsidRDefault="003455D2" w:rsidP="00A73646">
      <w:pPr>
        <w:pStyle w:val="IPPHeadSection"/>
        <w:jc w:val="center"/>
        <w:rPr>
          <w:lang w:val="en-US"/>
        </w:rPr>
      </w:pPr>
      <w:bookmarkStart w:id="0" w:name="_GoBack"/>
      <w:bookmarkEnd w:id="0"/>
      <w:r>
        <w:t>IC update</w:t>
      </w:r>
    </w:p>
    <w:p w14:paraId="451935E8" w14:textId="006B220E" w:rsidR="003F6F64" w:rsidRPr="00A73646" w:rsidRDefault="00E81EA9" w:rsidP="00A73646">
      <w:pPr>
        <w:pStyle w:val="IPPNormal"/>
        <w:jc w:val="center"/>
        <w:rPr>
          <w:i/>
          <w:iCs/>
        </w:rPr>
      </w:pPr>
      <w:r w:rsidRPr="00A73646">
        <w:rPr>
          <w:i/>
          <w:iCs/>
        </w:rPr>
        <w:t>(</w:t>
      </w:r>
      <w:r w:rsidR="003F6F64" w:rsidRPr="00A73646">
        <w:rPr>
          <w:i/>
          <w:iCs/>
        </w:rPr>
        <w:t>Prepared by IPPC Secretariat</w:t>
      </w:r>
      <w:r w:rsidRPr="00A73646">
        <w:rPr>
          <w:i/>
          <w:iCs/>
        </w:rPr>
        <w:t>)</w:t>
      </w:r>
    </w:p>
    <w:p w14:paraId="105C94B7" w14:textId="308E8749" w:rsidR="006B3489" w:rsidRPr="00A73646" w:rsidRDefault="006B3489" w:rsidP="00A73646">
      <w:pPr>
        <w:pStyle w:val="IPPContentsHead"/>
        <w:jc w:val="center"/>
        <w:rPr>
          <w:b w:val="0"/>
          <w:bCs w:val="0"/>
        </w:rPr>
      </w:pPr>
      <w:r w:rsidRPr="008F34E3">
        <w:t>Updates are provided in chronological order</w:t>
      </w:r>
    </w:p>
    <w:p w14:paraId="29386165" w14:textId="5FC23727" w:rsidR="001D4424" w:rsidRDefault="001D4424" w:rsidP="00A73646">
      <w:pPr>
        <w:pStyle w:val="IPPHeading1"/>
      </w:pPr>
      <w:r>
        <w:t>IC February Virtual Meeting</w:t>
      </w:r>
    </w:p>
    <w:p w14:paraId="001532E3" w14:textId="6AC2DA3A" w:rsidR="00733D4E" w:rsidRPr="006B3489" w:rsidRDefault="000A7828" w:rsidP="00A73646">
      <w:pPr>
        <w:pStyle w:val="IPPParagraphnumbering"/>
      </w:pPr>
      <w:r w:rsidRPr="006B3489">
        <w:t xml:space="preserve">IC </w:t>
      </w:r>
      <w:r w:rsidR="006B3489">
        <w:t xml:space="preserve">virtual meeting </w:t>
      </w:r>
      <w:r w:rsidR="006B3489" w:rsidRPr="006B3489">
        <w:t xml:space="preserve">took place virtually on </w:t>
      </w:r>
      <w:r w:rsidR="00926889" w:rsidRPr="006B3489">
        <w:t>2</w:t>
      </w:r>
      <w:r w:rsidR="0061318B" w:rsidRPr="006B3489">
        <w:t>4</w:t>
      </w:r>
      <w:r w:rsidRPr="006B3489">
        <w:t xml:space="preserve"> </w:t>
      </w:r>
      <w:r w:rsidR="00E81EA9" w:rsidRPr="006B3489">
        <w:t xml:space="preserve">February </w:t>
      </w:r>
      <w:r w:rsidRPr="006B3489">
        <w:t>202</w:t>
      </w:r>
      <w:r w:rsidR="00926889" w:rsidRPr="006B3489">
        <w:t>1</w:t>
      </w:r>
      <w:r w:rsidR="006B3489" w:rsidRPr="006B3489">
        <w:t xml:space="preserve">. The IC discussed the SCTF 2021 work plan. Extract from the draft report provided below: </w:t>
      </w:r>
    </w:p>
    <w:p w14:paraId="59E10A40" w14:textId="251D826E" w:rsidR="000A7828" w:rsidRPr="0053238B" w:rsidRDefault="0061318B" w:rsidP="00A73646">
      <w:pPr>
        <w:pStyle w:val="IPPHeading2"/>
      </w:pPr>
      <w:r w:rsidRPr="0053238B">
        <w:t>Sea Containers Task Force (IC subgroup): work plan review and approval</w:t>
      </w:r>
    </w:p>
    <w:p w14:paraId="2DEC6676" w14:textId="79B4E80D" w:rsidR="00217BAE" w:rsidRPr="0053238B" w:rsidRDefault="00217BAE" w:rsidP="00A73646">
      <w:pPr>
        <w:pStyle w:val="IPPParagraphnumbering"/>
      </w:pPr>
      <w:r w:rsidRPr="0053238B">
        <w:t xml:space="preserve">The </w:t>
      </w:r>
      <w:r w:rsidR="007563BB" w:rsidRPr="0053238B">
        <w:t xml:space="preserve">IPPC </w:t>
      </w:r>
      <w:r w:rsidR="0098374E" w:rsidRPr="0053238B">
        <w:t xml:space="preserve">Secretariat </w:t>
      </w:r>
      <w:r w:rsidR="007563BB" w:rsidRPr="0053238B">
        <w:t xml:space="preserve">(hereafter referred to as “the Secretariat”) </w:t>
      </w:r>
      <w:r w:rsidR="007F324D" w:rsidRPr="0053238B">
        <w:t xml:space="preserve">presented the </w:t>
      </w:r>
      <w:r w:rsidR="001D3C18" w:rsidRPr="0053238B">
        <w:t>proposed work plan for the Sea Containers Task Force (SCTF)</w:t>
      </w:r>
      <w:r w:rsidR="00FF0FD9" w:rsidRPr="0053238B">
        <w:rPr>
          <w:rStyle w:val="FootnoteReference"/>
        </w:rPr>
        <w:footnoteReference w:id="1"/>
      </w:r>
      <w:r w:rsidR="00FF76EC" w:rsidRPr="0053238B">
        <w:t>, noting that the task force’s mandate finishes at the end of 2021</w:t>
      </w:r>
      <w:r w:rsidR="00453AF2" w:rsidRPr="0053238B">
        <w:t>.</w:t>
      </w:r>
    </w:p>
    <w:p w14:paraId="394BFBF1" w14:textId="56403CD2" w:rsidR="00661B3C" w:rsidRPr="0053238B" w:rsidRDefault="6CB63C8D" w:rsidP="00A73646">
      <w:pPr>
        <w:pStyle w:val="IPPParagraphnumbering"/>
      </w:pPr>
      <w:r>
        <w:t>The IC lead for the SCTF, Ms Stephanie BLOEM (Representative from the RPPOs), explained that the work plan was presented in a more concise format than previous work plans, to make it easier to digest.</w:t>
      </w:r>
    </w:p>
    <w:p w14:paraId="741A4F68" w14:textId="53C73D56" w:rsidR="00701CDF" w:rsidRPr="0053238B" w:rsidRDefault="006632E9" w:rsidP="00A73646">
      <w:pPr>
        <w:pStyle w:val="IPPParagraphnumbering"/>
      </w:pPr>
      <w:r w:rsidRPr="0053238B">
        <w:t xml:space="preserve">The Chairperson thanked the Secretariat and IC lead, and </w:t>
      </w:r>
      <w:r w:rsidR="00701CDF" w:rsidRPr="0053238B">
        <w:t>invited comments from the IC.</w:t>
      </w:r>
    </w:p>
    <w:p w14:paraId="3F99067B" w14:textId="59CADDC9" w:rsidR="005005E1" w:rsidRPr="0053238B" w:rsidRDefault="4BA5922D" w:rsidP="00A73646">
      <w:pPr>
        <w:pStyle w:val="IPPParagraphnumbering"/>
      </w:pPr>
      <w:r>
        <w:t>Regarding the SCTF development of proposed recommendations to the Commission on Phytosanitary Measures (CPM), one IC member queried whether the December 2021 deadline for the final report on SCTF activities would be too late, given the timetable for submissions to the CPM. The IC lead explained that the December date was intended to give the task force the maximum amount of time to complete their work, but acknowledged that it could be tightened or that at least a draft report could be produced earlier. The Secretariat clarified that, if the CPM agreed to the revision of CPM Recommendation R-06 (</w:t>
      </w:r>
      <w:r w:rsidRPr="4BA5922D">
        <w:rPr>
          <w:i/>
          <w:iCs/>
        </w:rPr>
        <w:t>Sea containers</w:t>
      </w:r>
      <w:r>
        <w:t>) that it would follow the usual process for CPM Recommendations, but is a separate action item to the final report of the SCTF.</w:t>
      </w:r>
    </w:p>
    <w:p w14:paraId="35B3574D" w14:textId="2C373C20" w:rsidR="00046BF2" w:rsidRPr="0053238B" w:rsidRDefault="4BA5922D" w:rsidP="00A73646">
      <w:pPr>
        <w:pStyle w:val="IPPParagraphnumbering"/>
      </w:pPr>
      <w:r>
        <w:t xml:space="preserve">Regarding the work area on national plant protection organization (NPPO) surveys, one IC member asked whether there was any further information on the security difficulties that some countries may face in contributing trade-sensitive data. Referring to the increasing number of non-compliance issues related to contamination of sea containers in some regions, the member also raised the question of whether it would be worthwhile submitting a topic for a standard on sea container cleanliness during the forthcoming Call for topics. The IC was reminded that the topic for a draft standard on </w:t>
      </w:r>
      <w:r w:rsidRPr="4BA5922D">
        <w:rPr>
          <w:i/>
          <w:iCs/>
        </w:rPr>
        <w:t xml:space="preserve">Minimizing pest movement by sea containers </w:t>
      </w:r>
      <w:r>
        <w:t>(2008-001) was already on the List of topics for IPPC Standards.</w:t>
      </w:r>
    </w:p>
    <w:p w14:paraId="704B8704" w14:textId="30A1C321" w:rsidR="00991A9A" w:rsidRPr="0053238B" w:rsidRDefault="00991A9A" w:rsidP="00A73646">
      <w:pPr>
        <w:pStyle w:val="IPPParagraphnumbering"/>
      </w:pPr>
      <w:r w:rsidRPr="0053238B">
        <w:t xml:space="preserve">The IC </w:t>
      </w:r>
      <w:r w:rsidR="004207ED" w:rsidRPr="0053238B">
        <w:t xml:space="preserve">then broke into groups to </w:t>
      </w:r>
      <w:r w:rsidRPr="0053238B">
        <w:t>discuss the work plan, specifically addressing the question of whether the work plan sufficiently address</w:t>
      </w:r>
      <w:r w:rsidR="00A87163" w:rsidRPr="0053238B">
        <w:t>e</w:t>
      </w:r>
      <w:r w:rsidR="004E0CF1">
        <w:t>d</w:t>
      </w:r>
      <w:r w:rsidRPr="0053238B">
        <w:t xml:space="preserve"> the objectives set for the SCTF</w:t>
      </w:r>
      <w:r w:rsidR="00A87163" w:rsidRPr="0053238B">
        <w:t>, namely</w:t>
      </w:r>
      <w:r w:rsidR="004207ED" w:rsidRPr="0053238B">
        <w:t>:</w:t>
      </w:r>
      <w:r w:rsidR="00A87163" w:rsidRPr="0053238B">
        <w:t xml:space="preserve"> (</w:t>
      </w:r>
      <w:r w:rsidR="0027662D" w:rsidRPr="0053238B">
        <w:t>1</w:t>
      </w:r>
      <w:r w:rsidR="00A87163" w:rsidRPr="0053238B">
        <w:t>)</w:t>
      </w:r>
      <w:r w:rsidRPr="0053238B">
        <w:t xml:space="preserve"> measuring the impact of the </w:t>
      </w:r>
      <w:r w:rsidR="00075D20" w:rsidRPr="0053238B">
        <w:t>cargo transport unit (</w:t>
      </w:r>
      <w:r w:rsidRPr="0053238B">
        <w:t>CTU</w:t>
      </w:r>
      <w:r w:rsidR="00075D20" w:rsidRPr="0053238B">
        <w:t>)</w:t>
      </w:r>
      <w:r w:rsidRPr="0053238B">
        <w:t xml:space="preserve"> shipping code, and </w:t>
      </w:r>
      <w:r w:rsidR="00A87163" w:rsidRPr="0053238B">
        <w:t>(</w:t>
      </w:r>
      <w:r w:rsidR="0027662D" w:rsidRPr="0053238B">
        <w:t>2</w:t>
      </w:r>
      <w:r w:rsidR="00A87163" w:rsidRPr="0053238B">
        <w:t xml:space="preserve">) </w:t>
      </w:r>
      <w:r w:rsidRPr="0053238B">
        <w:t xml:space="preserve">increasing awareness of </w:t>
      </w:r>
      <w:r w:rsidR="00075D20" w:rsidRPr="0053238B">
        <w:t xml:space="preserve">the </w:t>
      </w:r>
      <w:r w:rsidRPr="0053238B">
        <w:t>pest risks of sea containers.</w:t>
      </w:r>
    </w:p>
    <w:p w14:paraId="1765B6C9" w14:textId="772D68C7" w:rsidR="002E3EE6" w:rsidRPr="0053238B" w:rsidRDefault="0027662D" w:rsidP="00A73646">
      <w:pPr>
        <w:pStyle w:val="IPPParagraphnumbering"/>
      </w:pPr>
      <w:r w:rsidRPr="0053238B">
        <w:t>When the main session resumed, one IC member from each group gave a brief summary of their group’s discussion</w:t>
      </w:r>
      <w:r w:rsidR="00991A9A" w:rsidRPr="0053238B">
        <w:t>.</w:t>
      </w:r>
      <w:r w:rsidRPr="0053238B">
        <w:t xml:space="preserve"> There was general support from the IC for the work plan and agreement that the activities aligned well with the SCTF objectives. There was also, however, a recognition that it was quite an ambitious plan, which raised the question of whether all components of the plan could be completed within the time available.</w:t>
      </w:r>
      <w:r w:rsidR="002E3EE6" w:rsidRPr="0053238B">
        <w:t xml:space="preserve"> Several </w:t>
      </w:r>
      <w:r w:rsidR="002566F4" w:rsidRPr="0053238B">
        <w:t xml:space="preserve">specific </w:t>
      </w:r>
      <w:r w:rsidR="002E3EE6" w:rsidRPr="0053238B">
        <w:t xml:space="preserve">comments </w:t>
      </w:r>
      <w:r w:rsidR="002566F4" w:rsidRPr="0053238B">
        <w:t xml:space="preserve">and suggestions </w:t>
      </w:r>
      <w:r w:rsidR="002E3EE6" w:rsidRPr="0053238B">
        <w:t xml:space="preserve">were </w:t>
      </w:r>
      <w:r w:rsidR="002566F4" w:rsidRPr="0053238B">
        <w:t xml:space="preserve">also </w:t>
      </w:r>
      <w:r w:rsidR="002E3EE6" w:rsidRPr="0053238B">
        <w:t>made:</w:t>
      </w:r>
    </w:p>
    <w:p w14:paraId="10540DF5" w14:textId="4FEF4814" w:rsidR="002566F4" w:rsidRPr="0053238B" w:rsidRDefault="00557B91" w:rsidP="00A73646">
      <w:pPr>
        <w:pStyle w:val="IPPBullet1"/>
      </w:pPr>
      <w:r w:rsidRPr="008F34E3">
        <w:rPr>
          <w:b/>
        </w:rPr>
        <w:t>NPPO surveys</w:t>
      </w:r>
      <w:r w:rsidRPr="0053238B">
        <w:t xml:space="preserve"> – </w:t>
      </w:r>
      <w:r w:rsidR="008E0ADC" w:rsidRPr="0053238B">
        <w:t>I</w:t>
      </w:r>
      <w:r w:rsidR="002E3EE6" w:rsidRPr="0053238B">
        <w:t xml:space="preserve">t was noted that if sufficient countries were still not in a position to contribute the required data, then the outputs relating to that data would be lacking. </w:t>
      </w:r>
      <w:r w:rsidR="008E0ADC" w:rsidRPr="0053238B">
        <w:t xml:space="preserve">The IC lead responded that although </w:t>
      </w:r>
      <w:r w:rsidR="002566F4" w:rsidRPr="0053238B">
        <w:t xml:space="preserve">it would be good to have these extra data, the data from </w:t>
      </w:r>
      <w:r w:rsidR="002E3EE6" w:rsidRPr="0053238B">
        <w:t>even a couple of countries</w:t>
      </w:r>
      <w:r w:rsidR="002566F4" w:rsidRPr="0053238B">
        <w:t xml:space="preserve"> </w:t>
      </w:r>
      <w:r w:rsidR="00527B0E">
        <w:t>are</w:t>
      </w:r>
      <w:r w:rsidR="00527B0E" w:rsidRPr="0053238B">
        <w:t xml:space="preserve"> </w:t>
      </w:r>
      <w:r w:rsidR="002E3EE6" w:rsidRPr="0053238B">
        <w:t>still useful because containers move around the world</w:t>
      </w:r>
      <w:r w:rsidR="002566F4" w:rsidRPr="0053238B">
        <w:t xml:space="preserve"> and</w:t>
      </w:r>
      <w:r w:rsidR="002E3EE6" w:rsidRPr="0053238B">
        <w:t xml:space="preserve"> so </w:t>
      </w:r>
      <w:r w:rsidR="002566F4" w:rsidRPr="0053238B">
        <w:t xml:space="preserve">the data would have </w:t>
      </w:r>
      <w:r w:rsidR="00527B0E">
        <w:t xml:space="preserve">a </w:t>
      </w:r>
      <w:r w:rsidR="002566F4" w:rsidRPr="0053238B">
        <w:t xml:space="preserve">wider </w:t>
      </w:r>
      <w:r w:rsidR="002566F4" w:rsidRPr="0053238B">
        <w:lastRenderedPageBreak/>
        <w:t xml:space="preserve">relevance than just </w:t>
      </w:r>
      <w:r w:rsidR="002E3EE6" w:rsidRPr="0053238B">
        <w:t>the two countries</w:t>
      </w:r>
      <w:r w:rsidR="002566F4" w:rsidRPr="0053238B">
        <w:t xml:space="preserve"> in question</w:t>
      </w:r>
      <w:r w:rsidR="002E3EE6" w:rsidRPr="0053238B">
        <w:t>.</w:t>
      </w:r>
      <w:r w:rsidR="002566F4" w:rsidRPr="0053238B">
        <w:t xml:space="preserve"> </w:t>
      </w:r>
      <w:r w:rsidRPr="0053238B">
        <w:t>T</w:t>
      </w:r>
      <w:r w:rsidR="002566F4" w:rsidRPr="0053238B">
        <w:t>he IC lead confirmed</w:t>
      </w:r>
      <w:r w:rsidRPr="0053238B">
        <w:t>, however,</w:t>
      </w:r>
      <w:r w:rsidR="002566F4" w:rsidRPr="0053238B">
        <w:t xml:space="preserve"> that the </w:t>
      </w:r>
      <w:r w:rsidRPr="0053238B">
        <w:t>SCTF</w:t>
      </w:r>
      <w:r w:rsidR="002566F4" w:rsidRPr="0053238B">
        <w:t xml:space="preserve"> is </w:t>
      </w:r>
      <w:r w:rsidRPr="0053238B">
        <w:t xml:space="preserve">still </w:t>
      </w:r>
      <w:r w:rsidR="002566F4" w:rsidRPr="0053238B">
        <w:t xml:space="preserve">actively pursuing data, and </w:t>
      </w:r>
      <w:r w:rsidRPr="0053238B">
        <w:t xml:space="preserve">is </w:t>
      </w:r>
      <w:r w:rsidR="002566F4" w:rsidRPr="0053238B">
        <w:t xml:space="preserve">confident that </w:t>
      </w:r>
      <w:r w:rsidRPr="0053238B">
        <w:t xml:space="preserve">it </w:t>
      </w:r>
      <w:r w:rsidR="002566F4" w:rsidRPr="0053238B">
        <w:t>will have sufficient data</w:t>
      </w:r>
      <w:r w:rsidR="00ED1292">
        <w:t>;</w:t>
      </w:r>
    </w:p>
    <w:p w14:paraId="6E4B9A29" w14:textId="29ACF75E" w:rsidR="002566F4" w:rsidRPr="0053238B" w:rsidRDefault="00557B91" w:rsidP="00A73646">
      <w:pPr>
        <w:pStyle w:val="IPPBullet1"/>
      </w:pPr>
      <w:r w:rsidRPr="008F34E3">
        <w:rPr>
          <w:b/>
        </w:rPr>
        <w:t>D</w:t>
      </w:r>
      <w:r w:rsidR="002566F4" w:rsidRPr="008F34E3">
        <w:rPr>
          <w:b/>
        </w:rPr>
        <w:t>etermin</w:t>
      </w:r>
      <w:r w:rsidRPr="008F34E3">
        <w:rPr>
          <w:b/>
        </w:rPr>
        <w:t>ing</w:t>
      </w:r>
      <w:r w:rsidR="002566F4" w:rsidRPr="008F34E3">
        <w:rPr>
          <w:b/>
        </w:rPr>
        <w:t xml:space="preserve"> the extent</w:t>
      </w:r>
      <w:r w:rsidR="002566F4" w:rsidRPr="00A73646">
        <w:rPr>
          <w:b/>
        </w:rPr>
        <w:t xml:space="preserve"> of contamination problems with sea containers</w:t>
      </w:r>
      <w:r w:rsidRPr="0053238B">
        <w:t xml:space="preserve"> – It was </w:t>
      </w:r>
      <w:r w:rsidR="002566F4" w:rsidRPr="0053238B">
        <w:t>suggested that</w:t>
      </w:r>
      <w:r w:rsidRPr="0053238B">
        <w:t>, in addition to NPPO surveys,</w:t>
      </w:r>
      <w:r w:rsidR="002566F4" w:rsidRPr="0053238B">
        <w:t xml:space="preserve"> regional plant protection organizations could be asked about their experience of </w:t>
      </w:r>
      <w:r w:rsidRPr="0053238B">
        <w:t>sea container contamination</w:t>
      </w:r>
      <w:r w:rsidR="002566F4" w:rsidRPr="0053238B">
        <w:t xml:space="preserve"> </w:t>
      </w:r>
      <w:r w:rsidRPr="0053238B">
        <w:t xml:space="preserve">and </w:t>
      </w:r>
      <w:r w:rsidR="004E0CF1">
        <w:t xml:space="preserve">the </w:t>
      </w:r>
      <w:r w:rsidRPr="0053238B">
        <w:t>extent of the problem</w:t>
      </w:r>
      <w:r w:rsidR="00ED1292">
        <w:t>;</w:t>
      </w:r>
    </w:p>
    <w:p w14:paraId="2EFD997D" w14:textId="1D3994A5" w:rsidR="00557B91" w:rsidRPr="0053238B" w:rsidRDefault="4BA5922D" w:rsidP="00A73646">
      <w:pPr>
        <w:pStyle w:val="IPPBullet1"/>
      </w:pPr>
      <w:r w:rsidRPr="008F34E3">
        <w:rPr>
          <w:b/>
          <w:bCs/>
        </w:rPr>
        <w:t xml:space="preserve">Communication and </w:t>
      </w:r>
      <w:r w:rsidR="00527B0E" w:rsidRPr="008F34E3">
        <w:rPr>
          <w:b/>
          <w:bCs/>
        </w:rPr>
        <w:t>awareness</w:t>
      </w:r>
      <w:r w:rsidR="00527B0E">
        <w:rPr>
          <w:b/>
          <w:bCs/>
        </w:rPr>
        <w:t>-</w:t>
      </w:r>
      <w:r w:rsidRPr="008F34E3">
        <w:rPr>
          <w:b/>
          <w:bCs/>
        </w:rPr>
        <w:t>raising</w:t>
      </w:r>
      <w:r>
        <w:t xml:space="preserve"> – It was suggested that more detail be given on the specific deliverables under this work area, including why the different outputs had been included in the plan. It was also suggested that, as it was unlikely that many more NPPOs would contribute data within the timeframe given the difficulties experienced to date, it would be better to spend more time on raising awareness of the risks associated with sea containers rather than spending more time collecting data to prove that pests are associated with sea containers when data already collected show this to be true. Therefore, there is no need to put more effort into trying to encourage NPPOs to collect more data</w:t>
      </w:r>
      <w:r w:rsidR="00ED1292">
        <w:t>;</w:t>
      </w:r>
    </w:p>
    <w:p w14:paraId="791C215A" w14:textId="45083F0E" w:rsidR="00557B91" w:rsidRPr="0053238B" w:rsidRDefault="00557B91" w:rsidP="00A73646">
      <w:pPr>
        <w:pStyle w:val="IPPBullet1"/>
      </w:pPr>
      <w:r w:rsidRPr="008F34E3">
        <w:rPr>
          <w:b/>
        </w:rPr>
        <w:t>Promoting sea container cleanliness among NPPOs</w:t>
      </w:r>
      <w:r w:rsidRPr="0053238B">
        <w:t xml:space="preserve"> – It was suggested that </w:t>
      </w:r>
      <w:r w:rsidR="006E5079" w:rsidRPr="0053238B">
        <w:t xml:space="preserve">the SCTF consider what incentives could be introduced for NPPOs to </w:t>
      </w:r>
      <w:r w:rsidR="00731811" w:rsidRPr="0053238B">
        <w:t xml:space="preserve">take the necessary actions on </w:t>
      </w:r>
      <w:r w:rsidR="006E5079" w:rsidRPr="0053238B">
        <w:t>sea container cleanliness</w:t>
      </w:r>
      <w:r w:rsidR="00ED1292">
        <w:t>;</w:t>
      </w:r>
    </w:p>
    <w:p w14:paraId="431EDCB9" w14:textId="4409DE17" w:rsidR="007D4DF8" w:rsidRPr="0053238B" w:rsidRDefault="00863B5D" w:rsidP="00A73646">
      <w:pPr>
        <w:pStyle w:val="IPPBullet1"/>
      </w:pPr>
      <w:r w:rsidRPr="008F34E3">
        <w:rPr>
          <w:b/>
        </w:rPr>
        <w:t>Outputs</w:t>
      </w:r>
      <w:r w:rsidR="00557B91" w:rsidRPr="0053238B">
        <w:t xml:space="preserve"> – </w:t>
      </w:r>
      <w:r w:rsidR="00AD2486" w:rsidRPr="0053238B">
        <w:t xml:space="preserve">It was suggested that </w:t>
      </w:r>
      <w:r w:rsidR="00CC12F0" w:rsidRPr="0053238B">
        <w:t xml:space="preserve">the </w:t>
      </w:r>
      <w:r w:rsidRPr="0053238B">
        <w:t>objectives of the work plan be more clearly stated in terms of tangible outputs</w:t>
      </w:r>
      <w:r w:rsidR="00CC12F0" w:rsidRPr="0053238B">
        <w:t>.</w:t>
      </w:r>
    </w:p>
    <w:p w14:paraId="782FA1BB" w14:textId="0A88A5EB" w:rsidR="009A2CB7" w:rsidRPr="0053238B" w:rsidRDefault="009A2CB7" w:rsidP="00A73646">
      <w:pPr>
        <w:pStyle w:val="IPPParagraphnumbering"/>
      </w:pPr>
      <w:r w:rsidRPr="0053238B">
        <w:t>The IC:</w:t>
      </w:r>
    </w:p>
    <w:p w14:paraId="05B0D5E7" w14:textId="17E6006B" w:rsidR="00800B8D" w:rsidRDefault="003408BF" w:rsidP="00A73646">
      <w:pPr>
        <w:pStyle w:val="IPPBullet1"/>
        <w:spacing w:after="120"/>
      </w:pPr>
      <w:r w:rsidRPr="008F34E3">
        <w:rPr>
          <w:i/>
          <w:iCs/>
        </w:rPr>
        <w:t xml:space="preserve">approved </w:t>
      </w:r>
      <w:r w:rsidRPr="0053238B">
        <w:t>the Sea Containers Task Force work plan</w:t>
      </w:r>
      <w:r w:rsidR="00484269">
        <w:t xml:space="preserve"> as </w:t>
      </w:r>
      <w:r w:rsidR="006B3489">
        <w:t xml:space="preserve">was </w:t>
      </w:r>
      <w:r w:rsidR="00484269">
        <w:t xml:space="preserve">presented </w:t>
      </w:r>
      <w:r w:rsidR="006B3489">
        <w:t xml:space="preserve">during the </w:t>
      </w:r>
      <w:r w:rsidR="00800B8D" w:rsidRPr="0053238B">
        <w:t>meeting</w:t>
      </w:r>
      <w:r w:rsidR="00BE1E80" w:rsidRPr="0053238B">
        <w:t>.</w:t>
      </w:r>
    </w:p>
    <w:p w14:paraId="0D360D70" w14:textId="0610FF4E" w:rsidR="006B3489" w:rsidRDefault="001D4424" w:rsidP="00A73646">
      <w:pPr>
        <w:pStyle w:val="IPPHeading2"/>
      </w:pPr>
      <w:r>
        <w:t>CPM-15 (2021) March-April</w:t>
      </w:r>
      <w:r w:rsidR="00A73646">
        <w:t>:</w:t>
      </w:r>
      <w:r>
        <w:t xml:space="preserve"> </w:t>
      </w:r>
      <w:r w:rsidR="006B3489">
        <w:t>Extract from CPM-15 (2021) report</w:t>
      </w:r>
    </w:p>
    <w:p w14:paraId="4E316B17" w14:textId="41B745CF" w:rsidR="001D4424" w:rsidRDefault="001D4424" w:rsidP="00A73646">
      <w:pPr>
        <w:pStyle w:val="IPPParagraphnumbering"/>
      </w:pPr>
      <w:r>
        <w:rPr>
          <w:rStyle w:val="normaltextrun"/>
          <w:szCs w:val="22"/>
          <w:lang w:val="en-GB"/>
        </w:rPr>
        <w:t>The Secretariat presented the paper outlining the work of the SCTF during 2019 and 2020. </w:t>
      </w:r>
      <w:r w:rsidR="00AA6520">
        <w:rPr>
          <w:rStyle w:val="normaltextrun"/>
          <w:szCs w:val="22"/>
          <w:lang w:val="en-GB"/>
        </w:rPr>
        <w:t xml:space="preserve">The paper </w:t>
      </w:r>
      <w:r>
        <w:rPr>
          <w:rStyle w:val="normaltextrun"/>
          <w:szCs w:val="22"/>
          <w:lang w:val="en-GB"/>
        </w:rPr>
        <w:t>highlighted the difficulties in gathering data on sea container cleanliness and the various activities undertaken by the SCTF to raise awareness </w:t>
      </w:r>
      <w:r>
        <w:rPr>
          <w:rStyle w:val="normaltextrun"/>
          <w:rFonts w:ascii="TimesNewRomanPSMT" w:hAnsi="TimesNewRomanPSMT"/>
          <w:color w:val="000000"/>
          <w:szCs w:val="22"/>
          <w:lang w:val="en-GB"/>
        </w:rPr>
        <w:t>of the pest risks associated with the movement of sea containers.</w:t>
      </w:r>
      <w:r>
        <w:rPr>
          <w:rStyle w:val="normaltextrun"/>
          <w:szCs w:val="22"/>
          <w:lang w:val="en-GB"/>
        </w:rPr>
        <w:t> Among the issues put forward for consideration by CPM-15 (2021) was the suggestion that CPM Recommendation R-06 (</w:t>
      </w:r>
      <w:r>
        <w:rPr>
          <w:rStyle w:val="normaltextrun"/>
          <w:i/>
          <w:iCs/>
          <w:szCs w:val="22"/>
          <w:lang w:val="en-GB"/>
        </w:rPr>
        <w:t>Sea containers</w:t>
      </w:r>
      <w:r>
        <w:rPr>
          <w:rStyle w:val="normaltextrun"/>
          <w:szCs w:val="22"/>
          <w:lang w:val="en-GB"/>
        </w:rPr>
        <w:t>) be revised to reflect the work done by t</w:t>
      </w:r>
      <w:r>
        <w:rPr>
          <w:rStyle w:val="normaltextrun"/>
          <w:rFonts w:ascii="TimesNewRomanPSMT" w:hAnsi="TimesNewRomanPSMT"/>
          <w:color w:val="000000"/>
          <w:szCs w:val="22"/>
          <w:lang w:val="en-GB"/>
        </w:rPr>
        <w:t>he SCTF.</w:t>
      </w:r>
      <w:r>
        <w:rPr>
          <w:rStyle w:val="eop"/>
          <w:rFonts w:ascii="TimesNewRomanPSMT" w:hAnsi="TimesNewRomanPSMT"/>
          <w:color w:val="000000"/>
          <w:szCs w:val="22"/>
        </w:rPr>
        <w:t> </w:t>
      </w:r>
    </w:p>
    <w:p w14:paraId="58E623DA" w14:textId="2D63CF98" w:rsidR="001D4424" w:rsidRDefault="001D4424" w:rsidP="00A73646">
      <w:pPr>
        <w:pStyle w:val="IPPParagraphnumbering"/>
      </w:pPr>
      <w:r>
        <w:rPr>
          <w:rStyle w:val="normaltextrun"/>
          <w:szCs w:val="22"/>
          <w:lang w:val="en-GB"/>
        </w:rPr>
        <w:t>Contracting parties commented on the importance of sea container cleanliness, acknowledging that it is a complicated and challenging issue and recognizing that there was still a need for further international cooperation. The CPM noted that there had been limitations to gathering data; however, useful conclusions may still be drawn, given that sea containers travel all over the world.</w:t>
      </w:r>
    </w:p>
    <w:p w14:paraId="0FFA3B83" w14:textId="6F1B8BF5" w:rsidR="001D4424" w:rsidRDefault="001D4424" w:rsidP="00A73646">
      <w:pPr>
        <w:pStyle w:val="IPPParagraphnumbering"/>
      </w:pPr>
      <w:r>
        <w:rPr>
          <w:rStyle w:val="normaltextrun"/>
          <w:szCs w:val="22"/>
          <w:lang w:val="en-GB"/>
        </w:rPr>
        <w:t>Regarding the work of the SCTF in the remaining months until their mandate lapses at the end of 2021, the CPM considered various suggestions made by CPs</w:t>
      </w:r>
      <w:r w:rsidR="00A73646">
        <w:rPr>
          <w:rStyle w:val="normaltextrun"/>
          <w:szCs w:val="22"/>
          <w:lang w:val="en-GB"/>
        </w:rPr>
        <w:t xml:space="preserve"> (</w:t>
      </w:r>
      <w:r w:rsidR="00AA6520">
        <w:rPr>
          <w:rStyle w:val="normaltextrun"/>
          <w:szCs w:val="22"/>
          <w:lang w:val="en-GB"/>
        </w:rPr>
        <w:t xml:space="preserve">Annex </w:t>
      </w:r>
      <w:r w:rsidR="00A73646">
        <w:rPr>
          <w:rStyle w:val="normaltextrun"/>
          <w:szCs w:val="22"/>
          <w:lang w:val="en-GB"/>
        </w:rPr>
        <w:t>1 to this paper)</w:t>
      </w:r>
      <w:r>
        <w:rPr>
          <w:rStyle w:val="normaltextrun"/>
          <w:szCs w:val="22"/>
          <w:lang w:val="en-GB"/>
        </w:rPr>
        <w:t>. These include a suggestion that the SCTF address</w:t>
      </w:r>
      <w:r w:rsidR="00AA6520">
        <w:rPr>
          <w:rStyle w:val="normaltextrun"/>
          <w:szCs w:val="22"/>
          <w:lang w:val="en-GB"/>
        </w:rPr>
        <w:t>es</w:t>
      </w:r>
      <w:r>
        <w:rPr>
          <w:rStyle w:val="normaltextrun"/>
          <w:szCs w:val="22"/>
          <w:lang w:val="en-GB"/>
        </w:rPr>
        <w:t xml:space="preserve"> some core strategic questions and consider</w:t>
      </w:r>
      <w:r w:rsidR="00AA6520">
        <w:rPr>
          <w:rStyle w:val="normaltextrun"/>
          <w:szCs w:val="22"/>
          <w:lang w:val="en-GB"/>
        </w:rPr>
        <w:t>s</w:t>
      </w:r>
      <w:r>
        <w:rPr>
          <w:rStyle w:val="normaltextrun"/>
          <w:szCs w:val="22"/>
          <w:lang w:val="en-GB"/>
        </w:rPr>
        <w:t xml:space="preserve"> the possibility of an international workshop (or open-ended technical consultation) in late 2022. It was agreed that after the report and recommendations of the SCTF are presented to CPM-16 (2022), the CPM would consider how to move forward on this topic including: the establishment of a CPM focus group to drive the delivery of the agreed approach, the revision of CPM Recommendation R-06, or resuming the development of a draft ISPM on sea container cleanliness.</w:t>
      </w:r>
      <w:r>
        <w:rPr>
          <w:rStyle w:val="eop"/>
          <w:szCs w:val="22"/>
        </w:rPr>
        <w:t> </w:t>
      </w:r>
    </w:p>
    <w:p w14:paraId="0DC9D7DA" w14:textId="472580B7" w:rsidR="001D4424" w:rsidRDefault="001D4424" w:rsidP="00A73646">
      <w:pPr>
        <w:pStyle w:val="IPPParagraphnumbering"/>
      </w:pPr>
      <w:r>
        <w:rPr>
          <w:rStyle w:val="normaltextrun"/>
          <w:szCs w:val="22"/>
          <w:lang w:val="en-GB"/>
        </w:rPr>
        <w:t>The CPM Chairperson </w:t>
      </w:r>
      <w:r>
        <w:rPr>
          <w:rStyle w:val="normaltextrun"/>
          <w:rFonts w:ascii="TimesNewRomanPSMT" w:hAnsi="TimesNewRomanPSMT"/>
          <w:color w:val="000000"/>
          <w:szCs w:val="22"/>
          <w:lang w:val="en-GB"/>
        </w:rPr>
        <w:t xml:space="preserve">suggested that interested CPs participate in a Friends of the Chair meeting, which took place outside of the </w:t>
      </w:r>
      <w:r w:rsidR="00AA6520">
        <w:rPr>
          <w:rStyle w:val="normaltextrun"/>
          <w:rFonts w:ascii="TimesNewRomanPSMT" w:hAnsi="TimesNewRomanPSMT"/>
          <w:color w:val="000000"/>
          <w:szCs w:val="22"/>
          <w:lang w:val="en-GB"/>
        </w:rPr>
        <w:t xml:space="preserve">regular </w:t>
      </w:r>
      <w:r>
        <w:rPr>
          <w:rStyle w:val="normaltextrun"/>
          <w:rFonts w:ascii="TimesNewRomanPSMT" w:hAnsi="TimesNewRomanPSMT"/>
          <w:color w:val="000000"/>
          <w:szCs w:val="22"/>
          <w:lang w:val="en-GB"/>
        </w:rPr>
        <w:t xml:space="preserve">session and resulted in </w:t>
      </w:r>
      <w:r w:rsidR="00527B0E">
        <w:rPr>
          <w:rStyle w:val="normaltextrun"/>
          <w:rFonts w:ascii="TimesNewRomanPSMT" w:hAnsi="TimesNewRomanPSMT"/>
          <w:color w:val="000000"/>
          <w:szCs w:val="22"/>
          <w:lang w:val="en-GB"/>
        </w:rPr>
        <w:t xml:space="preserve">an </w:t>
      </w:r>
      <w:r>
        <w:rPr>
          <w:rStyle w:val="normaltextrun"/>
          <w:rFonts w:ascii="TimesNewRomanPSMT" w:hAnsi="TimesNewRomanPSMT"/>
          <w:color w:val="000000"/>
          <w:szCs w:val="22"/>
          <w:lang w:val="en-GB"/>
        </w:rPr>
        <w:t>agreement to revised decisions </w:t>
      </w:r>
      <w:r>
        <w:rPr>
          <w:rStyle w:val="normaltextrun"/>
          <w:szCs w:val="22"/>
          <w:lang w:val="en-GB"/>
        </w:rPr>
        <w:t xml:space="preserve">that were presented to the CPM </w:t>
      </w:r>
      <w:r w:rsidR="00AA6520">
        <w:rPr>
          <w:rStyle w:val="normaltextrun"/>
          <w:szCs w:val="22"/>
          <w:lang w:val="en-GB"/>
        </w:rPr>
        <w:t>for consideration</w:t>
      </w:r>
      <w:r>
        <w:rPr>
          <w:rStyle w:val="normaltextrun"/>
          <w:szCs w:val="22"/>
          <w:lang w:val="en-GB"/>
        </w:rPr>
        <w:t>. </w:t>
      </w:r>
    </w:p>
    <w:p w14:paraId="136A6FB5" w14:textId="77777777" w:rsidR="001D4424" w:rsidRDefault="001D4424" w:rsidP="00A73646">
      <w:pPr>
        <w:pStyle w:val="IPPParagraphnumbering"/>
      </w:pPr>
      <w:r>
        <w:rPr>
          <w:rStyle w:val="normaltextrun"/>
          <w:szCs w:val="22"/>
          <w:lang w:val="en-GB"/>
        </w:rPr>
        <w:t>The CPM:</w:t>
      </w:r>
      <w:r>
        <w:rPr>
          <w:rStyle w:val="eop"/>
          <w:szCs w:val="22"/>
        </w:rPr>
        <w:t> </w:t>
      </w:r>
    </w:p>
    <w:p w14:paraId="754C3E5B" w14:textId="77777777" w:rsidR="001D4424" w:rsidRDefault="001D4424" w:rsidP="00A73646">
      <w:pPr>
        <w:pStyle w:val="IPPNumberedList"/>
      </w:pPr>
      <w:r>
        <w:rPr>
          <w:rStyle w:val="normaltextrun"/>
          <w:i/>
          <w:iCs/>
          <w:szCs w:val="22"/>
          <w:lang w:val="en-GB"/>
        </w:rPr>
        <w:t>noted</w:t>
      </w:r>
      <w:r>
        <w:rPr>
          <w:rStyle w:val="normaltextrun"/>
          <w:szCs w:val="22"/>
          <w:lang w:val="en-GB"/>
        </w:rPr>
        <w:t> the outcome of the Friends of the Chair meeting;</w:t>
      </w:r>
      <w:r>
        <w:rPr>
          <w:rStyle w:val="eop"/>
          <w:szCs w:val="22"/>
        </w:rPr>
        <w:t> </w:t>
      </w:r>
    </w:p>
    <w:p w14:paraId="09010D77" w14:textId="04C7BB16" w:rsidR="001D4424" w:rsidRDefault="001D4424" w:rsidP="00A73646">
      <w:pPr>
        <w:pStyle w:val="IPPNumberedList"/>
      </w:pPr>
      <w:r>
        <w:rPr>
          <w:rStyle w:val="normaltextrun"/>
          <w:i/>
          <w:iCs/>
          <w:szCs w:val="22"/>
          <w:lang w:val="en-GB"/>
        </w:rPr>
        <w:t>communicated</w:t>
      </w:r>
      <w:r>
        <w:rPr>
          <w:rStyle w:val="normaltextrun"/>
          <w:szCs w:val="22"/>
          <w:lang w:val="en-GB"/>
        </w:rPr>
        <w:t xml:space="preserve"> to contracting parties the value of carrying out sea container surveys and, in so doing, making use of the IPPC Guidelines on Sea Container Surveys for </w:t>
      </w:r>
      <w:r w:rsidR="00AA6520">
        <w:rPr>
          <w:rStyle w:val="normaltextrun"/>
          <w:szCs w:val="22"/>
          <w:lang w:val="en-GB"/>
        </w:rPr>
        <w:t>NPPOs</w:t>
      </w:r>
      <w:r>
        <w:rPr>
          <w:rStyle w:val="normaltextrun"/>
          <w:szCs w:val="22"/>
          <w:lang w:val="en-GB"/>
        </w:rPr>
        <w:t> and encouraging the submission of any related information to the Secretariat once any survey is executed;</w:t>
      </w:r>
      <w:r>
        <w:rPr>
          <w:rStyle w:val="eop"/>
          <w:szCs w:val="22"/>
        </w:rPr>
        <w:t> </w:t>
      </w:r>
    </w:p>
    <w:p w14:paraId="086E50FF" w14:textId="77777777" w:rsidR="001D4424" w:rsidRDefault="001D4424" w:rsidP="00A73646">
      <w:pPr>
        <w:pStyle w:val="IPPNumberedList"/>
      </w:pPr>
      <w:r>
        <w:rPr>
          <w:rStyle w:val="normaltextrun"/>
          <w:i/>
          <w:iCs/>
          <w:szCs w:val="22"/>
          <w:lang w:val="en-GB"/>
        </w:rPr>
        <w:lastRenderedPageBreak/>
        <w:t>noted</w:t>
      </w:r>
      <w:r>
        <w:rPr>
          <w:rStyle w:val="normaltextrun"/>
          <w:szCs w:val="22"/>
          <w:lang w:val="en-GB"/>
        </w:rPr>
        <w:t> the executive summary of the “Questionnaire on Monitoring of Sea Container Cleanliness” (Appendix XX);</w:t>
      </w:r>
      <w:r>
        <w:rPr>
          <w:rStyle w:val="eop"/>
          <w:szCs w:val="22"/>
        </w:rPr>
        <w:t> </w:t>
      </w:r>
    </w:p>
    <w:p w14:paraId="0B25F40C" w14:textId="77777777" w:rsidR="001D4424" w:rsidRDefault="001D4424" w:rsidP="00A73646">
      <w:pPr>
        <w:pStyle w:val="IPPNumberedList"/>
      </w:pPr>
      <w:r>
        <w:rPr>
          <w:rStyle w:val="normaltextrun"/>
          <w:i/>
          <w:iCs/>
          <w:szCs w:val="22"/>
          <w:lang w:val="en-GB"/>
        </w:rPr>
        <w:t>noted</w:t>
      </w:r>
      <w:r>
        <w:rPr>
          <w:rStyle w:val="normaltextrun"/>
          <w:szCs w:val="22"/>
          <w:lang w:val="en-GB"/>
        </w:rPr>
        <w:t> the work of the Secretariat and the Sea Container Task Force (SCTF) in encouraging the inclusion of sea container cleanliness among the criteria for the International Maritime Organization’s (IMO’s) inspection programmes for cargo transport units;</w:t>
      </w:r>
      <w:r>
        <w:rPr>
          <w:rStyle w:val="eop"/>
          <w:szCs w:val="22"/>
        </w:rPr>
        <w:t> </w:t>
      </w:r>
    </w:p>
    <w:p w14:paraId="4A1026AF" w14:textId="77777777" w:rsidR="001D4424" w:rsidRDefault="001D4424" w:rsidP="00A73646">
      <w:pPr>
        <w:pStyle w:val="IPPNumberedList"/>
      </w:pPr>
      <w:r>
        <w:rPr>
          <w:rStyle w:val="normaltextrun"/>
          <w:i/>
          <w:iCs/>
          <w:szCs w:val="22"/>
          <w:lang w:val="en-GB"/>
        </w:rPr>
        <w:t>noted</w:t>
      </w:r>
      <w:r>
        <w:rPr>
          <w:rStyle w:val="normaltextrun"/>
          <w:szCs w:val="22"/>
          <w:lang w:val="en-GB"/>
        </w:rPr>
        <w:t> that contracting parties may contact their IMO national contact points to support the inclusion of sea container cleanliness among the criteria for the IMO’s inspection programmes for cargo transport units;</w:t>
      </w:r>
      <w:r>
        <w:rPr>
          <w:rStyle w:val="eop"/>
          <w:szCs w:val="22"/>
        </w:rPr>
        <w:t> </w:t>
      </w:r>
    </w:p>
    <w:p w14:paraId="68A8D57F" w14:textId="77777777" w:rsidR="001D4424" w:rsidRDefault="001D4424" w:rsidP="00A73646">
      <w:pPr>
        <w:pStyle w:val="IPPNumberedList"/>
      </w:pPr>
      <w:r>
        <w:rPr>
          <w:rStyle w:val="normaltextrun"/>
          <w:i/>
          <w:iCs/>
          <w:szCs w:val="22"/>
          <w:lang w:val="en-GB"/>
        </w:rPr>
        <w:t>requested</w:t>
      </w:r>
      <w:r>
        <w:rPr>
          <w:rStyle w:val="normaltextrun"/>
          <w:szCs w:val="22"/>
          <w:lang w:val="en-GB"/>
        </w:rPr>
        <w:t> that the Secretariat and SCTF continue to explore the potential use of the Authorized Economic Operators framework to incorporate phytosanitary criteria and the inclusion of additional fields in the World Customs Organization Data Model to track container cleanliness;</w:t>
      </w:r>
      <w:r>
        <w:rPr>
          <w:rStyle w:val="eop"/>
          <w:szCs w:val="22"/>
        </w:rPr>
        <w:t> </w:t>
      </w:r>
    </w:p>
    <w:p w14:paraId="301365BE" w14:textId="77777777" w:rsidR="001D4424" w:rsidRDefault="001D4424" w:rsidP="00A73646">
      <w:pPr>
        <w:pStyle w:val="IPPNumberedList"/>
      </w:pPr>
      <w:r>
        <w:rPr>
          <w:rStyle w:val="normaltextrun"/>
          <w:i/>
          <w:iCs/>
          <w:szCs w:val="22"/>
          <w:lang w:val="en-GB"/>
        </w:rPr>
        <w:t>noted</w:t>
      </w:r>
      <w:r>
        <w:rPr>
          <w:rStyle w:val="normaltextrun"/>
          <w:szCs w:val="22"/>
          <w:lang w:val="en-GB"/>
        </w:rPr>
        <w:t> the Secretariat’s and SCTF’s arrangements to update the IMO/International Labour Organization/United Nations Economic Commission for Europe’s Code of Practice for Packing of Cargo Transport Units (CTU Code) and the potential co-sponsoring of the CTU Code by the FAO;</w:t>
      </w:r>
      <w:r>
        <w:rPr>
          <w:rStyle w:val="eop"/>
          <w:szCs w:val="22"/>
        </w:rPr>
        <w:t> </w:t>
      </w:r>
    </w:p>
    <w:p w14:paraId="7333067B" w14:textId="77777777" w:rsidR="001D4424" w:rsidRDefault="001D4424" w:rsidP="00A73646">
      <w:pPr>
        <w:pStyle w:val="IPPNumberedList"/>
      </w:pPr>
      <w:r>
        <w:rPr>
          <w:rStyle w:val="normaltextrun"/>
          <w:i/>
          <w:iCs/>
          <w:szCs w:val="22"/>
          <w:lang w:val="en-GB"/>
        </w:rPr>
        <w:t>encouraged </w:t>
      </w:r>
      <w:r>
        <w:rPr>
          <w:rStyle w:val="normaltextrun"/>
          <w:szCs w:val="22"/>
          <w:lang w:val="en-GB"/>
        </w:rPr>
        <w:t>contracting parties to use CPM Recommendation R-06 (</w:t>
      </w:r>
      <w:r>
        <w:rPr>
          <w:rStyle w:val="normaltextrun"/>
          <w:i/>
          <w:iCs/>
          <w:szCs w:val="22"/>
          <w:lang w:val="en-GB"/>
        </w:rPr>
        <w:t>Sea containers</w:t>
      </w:r>
      <w:r>
        <w:rPr>
          <w:rStyle w:val="normaltextrun"/>
          <w:szCs w:val="22"/>
          <w:lang w:val="en-GB"/>
        </w:rPr>
        <w:t>);</w:t>
      </w:r>
      <w:r>
        <w:rPr>
          <w:rStyle w:val="eop"/>
          <w:szCs w:val="22"/>
        </w:rPr>
        <w:t> </w:t>
      </w:r>
    </w:p>
    <w:p w14:paraId="078CA26F" w14:textId="5FAB3B96" w:rsidR="001D4424" w:rsidRDefault="001D4424" w:rsidP="00A73646">
      <w:pPr>
        <w:pStyle w:val="IPPNumberedList"/>
      </w:pPr>
      <w:r>
        <w:rPr>
          <w:rStyle w:val="normaltextrun"/>
          <w:i/>
          <w:iCs/>
          <w:szCs w:val="22"/>
          <w:lang w:val="en-GB"/>
        </w:rPr>
        <w:t>encouraged </w:t>
      </w:r>
      <w:r>
        <w:rPr>
          <w:rStyle w:val="normaltextrun"/>
          <w:szCs w:val="22"/>
          <w:lang w:val="en-GB"/>
        </w:rPr>
        <w:t>contracting parties</w:t>
      </w:r>
      <w:r>
        <w:rPr>
          <w:rStyle w:val="normaltextrun"/>
          <w:i/>
          <w:iCs/>
          <w:szCs w:val="22"/>
          <w:lang w:val="en-GB"/>
        </w:rPr>
        <w:t> </w:t>
      </w:r>
      <w:r>
        <w:rPr>
          <w:rStyle w:val="normaltextrun"/>
          <w:szCs w:val="22"/>
          <w:lang w:val="en-GB"/>
        </w:rPr>
        <w:t>to use the IPPC guidance document </w:t>
      </w:r>
      <w:r>
        <w:rPr>
          <w:rStyle w:val="normaltextrun"/>
          <w:i/>
          <w:iCs/>
          <w:szCs w:val="22"/>
          <w:lang w:val="en-GB"/>
        </w:rPr>
        <w:t>Sea container supply chains and cleanliness: An IPPC best practice guidance on measures to minimize pest contamination</w:t>
      </w:r>
      <w:r>
        <w:rPr>
          <w:rStyle w:val="normaltextrun"/>
          <w:szCs w:val="22"/>
          <w:lang w:val="en-GB"/>
        </w:rPr>
        <w:t>;</w:t>
      </w:r>
      <w:r>
        <w:rPr>
          <w:rStyle w:val="eop"/>
          <w:szCs w:val="22"/>
        </w:rPr>
        <w:t> </w:t>
      </w:r>
    </w:p>
    <w:p w14:paraId="394038A4" w14:textId="4719D098" w:rsidR="001D4424" w:rsidRDefault="001D4424" w:rsidP="00A73646">
      <w:pPr>
        <w:pStyle w:val="IPPNumberedList"/>
      </w:pPr>
      <w:r>
        <w:rPr>
          <w:rStyle w:val="normaltextrun"/>
          <w:i/>
          <w:iCs/>
          <w:szCs w:val="22"/>
          <w:lang w:val="en-GB"/>
        </w:rPr>
        <w:t>noted</w:t>
      </w:r>
      <w:r>
        <w:rPr>
          <w:rStyle w:val="normaltextrun"/>
          <w:szCs w:val="22"/>
          <w:lang w:val="en-GB"/>
        </w:rPr>
        <w:t> the IPPC leaflet </w:t>
      </w:r>
      <w:r>
        <w:rPr>
          <w:rStyle w:val="normaltextrun"/>
          <w:i/>
          <w:iCs/>
          <w:szCs w:val="22"/>
          <w:lang w:val="en-GB"/>
        </w:rPr>
        <w:t>Reducing the spread of invasive pests by sea containers</w:t>
      </w:r>
      <w:r>
        <w:rPr>
          <w:rStyle w:val="normaltextrun"/>
          <w:szCs w:val="22"/>
          <w:lang w:val="en-GB"/>
        </w:rPr>
        <w:t>;</w:t>
      </w:r>
      <w:r>
        <w:rPr>
          <w:rStyle w:val="eop"/>
          <w:szCs w:val="22"/>
        </w:rPr>
        <w:t> </w:t>
      </w:r>
    </w:p>
    <w:p w14:paraId="6FC9CDE2" w14:textId="77777777" w:rsidR="001D4424" w:rsidRDefault="001D4424" w:rsidP="00A73646">
      <w:pPr>
        <w:pStyle w:val="IPPNumberedList"/>
      </w:pPr>
      <w:r>
        <w:rPr>
          <w:rStyle w:val="normaltextrun"/>
          <w:i/>
          <w:iCs/>
          <w:szCs w:val="22"/>
          <w:lang w:val="en-GB"/>
        </w:rPr>
        <w:t>confirmed</w:t>
      </w:r>
      <w:r>
        <w:rPr>
          <w:rStyle w:val="normaltextrun"/>
          <w:szCs w:val="22"/>
          <w:lang w:val="en-GB"/>
        </w:rPr>
        <w:t> the following key objectives for the SCTF to pursue during the remainder of its mandate (which extends to the end of December 2021) and which are to be reported on at CPM-16 in 2022 on behalf of the SCTF. In this regard, under the direction of the Implementation and Capacity Development Committee, </w:t>
      </w:r>
      <w:r>
        <w:rPr>
          <w:rStyle w:val="normaltextrun"/>
          <w:i/>
          <w:iCs/>
          <w:szCs w:val="22"/>
          <w:lang w:val="en-GB"/>
        </w:rPr>
        <w:t>the </w:t>
      </w:r>
      <w:r>
        <w:rPr>
          <w:rStyle w:val="normaltextrun"/>
          <w:i/>
          <w:iCs/>
          <w:szCs w:val="22"/>
          <w:u w:val="single"/>
          <w:lang w:val="en-GB"/>
        </w:rPr>
        <w:t>SCTF</w:t>
      </w:r>
      <w:r>
        <w:rPr>
          <w:rStyle w:val="normaltextrun"/>
          <w:i/>
          <w:iCs/>
          <w:szCs w:val="22"/>
          <w:lang w:val="en-GB"/>
        </w:rPr>
        <w:t> is asked, as feasible in the remaining time available, to:</w:t>
      </w:r>
      <w:r>
        <w:rPr>
          <w:rStyle w:val="eop"/>
          <w:szCs w:val="22"/>
        </w:rPr>
        <w:t> </w:t>
      </w:r>
    </w:p>
    <w:p w14:paraId="2BEC3CEE" w14:textId="77777777" w:rsidR="001D4424" w:rsidRDefault="001D4424" w:rsidP="00A73646">
      <w:pPr>
        <w:pStyle w:val="IPPBullet2"/>
      </w:pPr>
      <w:r>
        <w:rPr>
          <w:rStyle w:val="normaltextrun"/>
          <w:szCs w:val="22"/>
        </w:rPr>
        <w:t>consider and prepare responses to the core strategic questions laid out in CPM 2021/INF/13, “Update from the Sea Containers Task Force – Proposal for a Path Forward for the Sea Container Task Force”. The SCTF may also review additional sources of information of potential value in this regard, such as information gathered by the earlier IPPC working group that developed the recommendation on contaminating pests;</w:t>
      </w:r>
      <w:r>
        <w:rPr>
          <w:rStyle w:val="eop"/>
          <w:szCs w:val="22"/>
        </w:rPr>
        <w:t> </w:t>
      </w:r>
    </w:p>
    <w:p w14:paraId="20EA4A9C" w14:textId="77777777" w:rsidR="001D4424" w:rsidRDefault="001D4424" w:rsidP="00A73646">
      <w:pPr>
        <w:pStyle w:val="IPPBullet2"/>
      </w:pPr>
      <w:r>
        <w:rPr>
          <w:rStyle w:val="normaltextrun"/>
          <w:szCs w:val="22"/>
        </w:rPr>
        <w:t>outline potential core aspects that the SCTF would consider important for inclusion in (a) a potential revision of CPM Recommendation No. 6 on Sea Containers, and (b) a potential ISPM on sea containers, recognizing that the CPM has yet to determine whether to proceed with further development of either approach;</w:t>
      </w:r>
      <w:r>
        <w:rPr>
          <w:rStyle w:val="eop"/>
          <w:szCs w:val="22"/>
        </w:rPr>
        <w:t> </w:t>
      </w:r>
    </w:p>
    <w:p w14:paraId="573CF579" w14:textId="77777777" w:rsidR="001D4424" w:rsidRDefault="001D4424" w:rsidP="00A73646">
      <w:pPr>
        <w:pStyle w:val="IPPBullet2"/>
      </w:pPr>
      <w:r>
        <w:rPr>
          <w:rStyle w:val="normaltextrun"/>
          <w:szCs w:val="22"/>
        </w:rPr>
        <w:t>consider and communicate viewpoints on the potential value of an international workshop (or open-ended technical consultation) that could be held in late 2022, subject to CPM-16 approval, to be arranged by a CPM focus group as described below, which would allow for: (a) the discussion of the SCTF’s final report and any related recommendations; (b) exchange of relevant lessons learned, views, experiences and recommendations; and (c) identification of critical elements which should be considered in conjunction with any future related activities or development of related IPPC guidance. The outcomes of the workshop would be expected to be presented to CPM-17 in 2023;</w:t>
      </w:r>
      <w:r>
        <w:rPr>
          <w:rStyle w:val="eop"/>
          <w:szCs w:val="22"/>
        </w:rPr>
        <w:t> </w:t>
      </w:r>
    </w:p>
    <w:p w14:paraId="58A202A4" w14:textId="77777777" w:rsidR="001D4424" w:rsidRDefault="001D4424" w:rsidP="00A73646">
      <w:pPr>
        <w:pStyle w:val="IPPBullet2"/>
      </w:pPr>
      <w:r>
        <w:rPr>
          <w:rStyle w:val="normaltextrun"/>
          <w:szCs w:val="22"/>
        </w:rPr>
        <w:t>develop any other considerations, recommendations or options that CPM-16 may wish to take into account during related decision-taking in 2022;</w:t>
      </w:r>
      <w:r>
        <w:rPr>
          <w:rStyle w:val="eop"/>
          <w:szCs w:val="22"/>
        </w:rPr>
        <w:t> </w:t>
      </w:r>
    </w:p>
    <w:p w14:paraId="5A4C25B1" w14:textId="525EE242" w:rsidR="001D4424" w:rsidRDefault="001D4424" w:rsidP="00A73646">
      <w:pPr>
        <w:pStyle w:val="IPPBullet2"/>
      </w:pPr>
      <w:r>
        <w:rPr>
          <w:rStyle w:val="normaltextrun"/>
          <w:szCs w:val="22"/>
        </w:rPr>
        <w:t>develop a draft Terms of Reference for a prospective CPM focus group that would be charged with arranging a possible 2022 workshop or consultation or any other tasks which CPM-16 (2022) decides upon and assembling related information or recommendations for subsequent communication to CPM-17 (2023). The draft Terms of Reference for this focus group would be presented to the Strategic Planning Group in 2021 for review and subsequently presented to CPM-16 (2022) for consideration and decision on holding the workshop or consultation.</w:t>
      </w:r>
    </w:p>
    <w:p w14:paraId="49C90211" w14:textId="77777777" w:rsidR="001D4424" w:rsidRDefault="001D4424" w:rsidP="001D4424">
      <w:pPr>
        <w:rPr>
          <w:lang w:val="en-US"/>
        </w:rPr>
      </w:pPr>
    </w:p>
    <w:p w14:paraId="50BD4764" w14:textId="2ABDF0CE" w:rsidR="001D4424" w:rsidRPr="00ED2EA1" w:rsidRDefault="001D4424" w:rsidP="00A73646">
      <w:pPr>
        <w:pStyle w:val="IPPHeading2"/>
        <w:tabs>
          <w:tab w:val="clear" w:pos="567"/>
          <w:tab w:val="left" w:pos="0"/>
        </w:tabs>
        <w:ind w:left="0" w:firstLine="0"/>
        <w:jc w:val="both"/>
        <w:rPr>
          <w:lang w:val="en-US"/>
        </w:rPr>
      </w:pPr>
      <w:r w:rsidRPr="00ED2EA1">
        <w:rPr>
          <w:lang w:val="en-US"/>
        </w:rPr>
        <w:lastRenderedPageBreak/>
        <w:t>IC e-forum: Discussion on work of the SCTF for the remaining of 2021 and prioritization of tasks, 7-16 April 2021</w:t>
      </w:r>
    </w:p>
    <w:p w14:paraId="0868AF08" w14:textId="7D60DCDB" w:rsidR="001D4424" w:rsidRPr="001D4424" w:rsidRDefault="001D4424" w:rsidP="00A73646">
      <w:pPr>
        <w:pStyle w:val="IPPParagraphnumbering"/>
      </w:pPr>
      <w:r w:rsidRPr="001D4424">
        <w:t>The purp</w:t>
      </w:r>
      <w:r w:rsidR="00A73646">
        <w:t>ose of the</w:t>
      </w:r>
      <w:r w:rsidRPr="001D4424">
        <w:t xml:space="preserve"> e-forum </w:t>
      </w:r>
      <w:r>
        <w:t>was</w:t>
      </w:r>
      <w:r w:rsidRPr="001D4424">
        <w:t xml:space="preserve"> to discuss and prioritize suggestions presented to CPM-15 (2021) with regards to the work of the SCTF for the remainder of their mandate which extends to the end of December 2021. These include several core strategic questions which were presented in CPM paper: CPM 2021/INF/13 (</w:t>
      </w:r>
      <w:r w:rsidR="00AA6520">
        <w:t xml:space="preserve">Annex </w:t>
      </w:r>
      <w:r w:rsidR="00A73646">
        <w:t>1</w:t>
      </w:r>
      <w:r w:rsidRPr="001D4424">
        <w:t xml:space="preserve"> </w:t>
      </w:r>
      <w:r w:rsidR="00A73646">
        <w:t>to this paper)</w:t>
      </w:r>
      <w:r w:rsidRPr="001D4424">
        <w:t xml:space="preserve"> as well as other points outlined </w:t>
      </w:r>
      <w:r w:rsidR="00A73646">
        <w:t>by</w:t>
      </w:r>
      <w:r w:rsidRPr="001D4424">
        <w:t xml:space="preserve"> CPM-15 (2021)</w:t>
      </w:r>
      <w:r w:rsidR="00A73646">
        <w:t>.</w:t>
      </w:r>
    </w:p>
    <w:p w14:paraId="54F600E4" w14:textId="5FE32CDC" w:rsidR="006B3489" w:rsidRDefault="001D4424" w:rsidP="00A73646">
      <w:pPr>
        <w:pStyle w:val="IPPParagraphnumbering"/>
      </w:pPr>
      <w:r>
        <w:t>During the forum the IC agreed that</w:t>
      </w:r>
      <w:r w:rsidRPr="001D4424">
        <w:t xml:space="preserve"> the SCTF</w:t>
      </w:r>
      <w:r>
        <w:t xml:space="preserve"> should </w:t>
      </w:r>
      <w:r w:rsidRPr="001D4424">
        <w:t>focus on way</w:t>
      </w:r>
      <w:r w:rsidR="00ED2EA1">
        <w:t>s</w:t>
      </w:r>
      <w:r w:rsidRPr="001D4424">
        <w:t xml:space="preserve"> forward outlined in the paper</w:t>
      </w:r>
      <w:r w:rsidR="00ED2EA1" w:rsidRPr="00ED2EA1">
        <w:t xml:space="preserve"> </w:t>
      </w:r>
      <w:r w:rsidR="00ED2EA1" w:rsidRPr="001D4424">
        <w:t>CPM 2021/INF/13</w:t>
      </w:r>
      <w:r w:rsidRPr="001D4424">
        <w:t xml:space="preserve">. </w:t>
      </w:r>
      <w:r w:rsidR="00ED2EA1">
        <w:t>T</w:t>
      </w:r>
      <w:r w:rsidRPr="001D4424">
        <w:t xml:space="preserve">his list reorganizes and prioritizes the work of the SCTF and will result in tangible deliverables for the future. It will provide answers to specific and strategic questions concerning this pathway, it will indicate whether an ISPM or another type of guidance will be best for CPs, it will consider the revision of CPM </w:t>
      </w:r>
      <w:r w:rsidR="00B642AC">
        <w:t>R</w:t>
      </w:r>
      <w:r w:rsidRPr="001D4424">
        <w:t>ecommendation</w:t>
      </w:r>
      <w:r w:rsidR="00593458">
        <w:t xml:space="preserve"> </w:t>
      </w:r>
      <w:r w:rsidR="00B642AC">
        <w:t>R-0</w:t>
      </w:r>
      <w:r w:rsidRPr="001D4424">
        <w:t>6, it will identify experts to lead in the design and delivery of an international workshop on the topic and identify other related outcomes.</w:t>
      </w:r>
    </w:p>
    <w:p w14:paraId="2B131BFD" w14:textId="2009FCD8" w:rsidR="00ED2EA1" w:rsidRDefault="00ED2EA1" w:rsidP="00A73646">
      <w:pPr>
        <w:pStyle w:val="IPPParagraphnumbering"/>
      </w:pPr>
      <w:r>
        <w:t xml:space="preserve">It was also suggested that the SCTF </w:t>
      </w:r>
      <w:r w:rsidR="001D4424" w:rsidRPr="001D4424">
        <w:t xml:space="preserve">make good use of the limited time left, i.e. spend as little time, if at all, on administrative issues (i.e. no more work planning) and </w:t>
      </w:r>
      <w:r w:rsidR="00AA6520">
        <w:t>instead focus on</w:t>
      </w:r>
      <w:r w:rsidR="001D4424" w:rsidRPr="001D4424">
        <w:t xml:space="preserve"> the questions posed in the </w:t>
      </w:r>
      <w:r w:rsidRPr="00ED2EA1">
        <w:t>CPM 2021/INF/13</w:t>
      </w:r>
      <w:r>
        <w:t xml:space="preserve"> </w:t>
      </w:r>
      <w:r w:rsidR="001D4424" w:rsidRPr="001D4424">
        <w:t xml:space="preserve">paper immediately. </w:t>
      </w:r>
    </w:p>
    <w:p w14:paraId="1883D5FD" w14:textId="3AF84509" w:rsidR="001D4424" w:rsidRDefault="00ED2EA1" w:rsidP="00A73646">
      <w:pPr>
        <w:pStyle w:val="IPPParagraphnumbering"/>
      </w:pPr>
      <w:r>
        <w:t>Additional</w:t>
      </w:r>
      <w:r w:rsidR="0041472D">
        <w:t>ly,</w:t>
      </w:r>
      <w:r>
        <w:t xml:space="preserve"> it was suggested </w:t>
      </w:r>
      <w:r w:rsidR="002E7457">
        <w:t>refocus the work on the surveys by analyzing</w:t>
      </w:r>
      <w:r w:rsidR="001D4424" w:rsidRPr="001D4424">
        <w:t xml:space="preserve"> the data obtained thus far. Most everybody agrees on the risk posed by sea containers and spending resources on validating that agreed-upon fact with more data, albeit desirable, should no longer be a priority given the current situation and limited time left.</w:t>
      </w:r>
    </w:p>
    <w:p w14:paraId="13530775" w14:textId="24E1339E" w:rsidR="00ED2EA1" w:rsidRPr="001D4424" w:rsidRDefault="00ED2EA1" w:rsidP="00A73646">
      <w:pPr>
        <w:pStyle w:val="IPPParagraphnumbering"/>
      </w:pPr>
      <w:r>
        <w:t xml:space="preserve">Finally, it was suggested that </w:t>
      </w:r>
      <w:r w:rsidR="001D4424" w:rsidRPr="001D4424">
        <w:t xml:space="preserve">the SCTF comes back to the IC immediately if they see a problem in delivering the items from </w:t>
      </w:r>
      <w:r w:rsidR="0041472D">
        <w:t xml:space="preserve">the </w:t>
      </w:r>
      <w:r w:rsidR="001D4424" w:rsidRPr="001D4424">
        <w:t xml:space="preserve">CPM report. </w:t>
      </w:r>
    </w:p>
    <w:p w14:paraId="151F7436" w14:textId="5899247F" w:rsidR="001D4424" w:rsidRDefault="001D4424" w:rsidP="001D4424">
      <w:pPr>
        <w:rPr>
          <w:lang w:val="en-US"/>
        </w:rPr>
      </w:pPr>
    </w:p>
    <w:p w14:paraId="0619F0E2" w14:textId="02CA7FD1" w:rsidR="00A73646" w:rsidRDefault="00A73646" w:rsidP="001D4424">
      <w:pPr>
        <w:rPr>
          <w:lang w:val="en-US"/>
        </w:rPr>
      </w:pPr>
    </w:p>
    <w:p w14:paraId="2D96234F" w14:textId="2C0A213E" w:rsidR="00A73646" w:rsidRDefault="00A73646">
      <w:pPr>
        <w:spacing w:after="160" w:line="259" w:lineRule="auto"/>
        <w:jc w:val="left"/>
        <w:rPr>
          <w:lang w:val="en-US"/>
        </w:rPr>
      </w:pPr>
      <w:r>
        <w:rPr>
          <w:lang w:val="en-US"/>
        </w:rPr>
        <w:br w:type="page"/>
      </w:r>
    </w:p>
    <w:p w14:paraId="1BAA1BE5" w14:textId="3F2B0CDC" w:rsidR="00A73646" w:rsidRDefault="00A73646" w:rsidP="00A73646">
      <w:pPr>
        <w:jc w:val="right"/>
        <w:rPr>
          <w:lang w:val="en-US"/>
        </w:rPr>
      </w:pPr>
      <w:r>
        <w:rPr>
          <w:lang w:val="en-US"/>
        </w:rPr>
        <w:lastRenderedPageBreak/>
        <w:t>Annex 1</w:t>
      </w:r>
    </w:p>
    <w:p w14:paraId="17485630" w14:textId="77777777" w:rsidR="00A73646" w:rsidRDefault="00A73646" w:rsidP="001D4424">
      <w:pPr>
        <w:rPr>
          <w:lang w:val="en-US"/>
        </w:rPr>
      </w:pPr>
    </w:p>
    <w:sdt>
      <w:sdtPr>
        <w:rPr>
          <w:rFonts w:asciiTheme="minorHAnsi" w:eastAsiaTheme="minorEastAsia" w:hAnsiTheme="minorHAnsi" w:cs="Times New Roman"/>
          <w:sz w:val="22"/>
          <w:szCs w:val="3276"/>
          <w:lang w:val="en-US"/>
        </w:rPr>
        <w:alias w:val="Meeting Header"/>
        <w:tag w:val="Meeting Header"/>
        <w:id w:val="8308209"/>
        <w:lock w:val="contentLocked"/>
      </w:sdtPr>
      <w:sdtEndPr>
        <w:rPr>
          <w:rFonts w:ascii="Times New Roman" w:eastAsia="MS Mincho" w:hAnsi="Times New Roman"/>
          <w:szCs w:val="24"/>
          <w:lang w:val="en-GB"/>
        </w:rPr>
      </w:sdtEndPr>
      <w:sdtContent>
        <w:p w14:paraId="6C156082" w14:textId="77777777" w:rsidR="00A73646" w:rsidRPr="0073685B" w:rsidRDefault="00A73646" w:rsidP="0068392A">
          <w:pPr>
            <w:pStyle w:val="Hidden"/>
          </w:pPr>
        </w:p>
        <w:p w14:paraId="0B243CC9" w14:textId="77777777" w:rsidR="00A73646" w:rsidRPr="00D56044" w:rsidRDefault="00A73646" w:rsidP="0068392A">
          <w:pPr>
            <w:pStyle w:val="DocTitle"/>
          </w:pPr>
          <w:bookmarkStart w:id="1" w:name="CoverBookmark"/>
          <w:bookmarkStart w:id="2" w:name="CoverTitleBookmark"/>
          <w:r>
            <w:rPr>
              <w:smallCaps/>
            </w:rPr>
            <w:t>Commission on Phytosanitary Measures</w:t>
          </w:r>
        </w:p>
        <w:bookmarkEnd w:id="2" w:displacedByCustomXml="next"/>
        <w:sdt>
          <w:sdtPr>
            <w:alias w:val="Meeting Information"/>
            <w:tag w:val="Meeting Information"/>
            <w:id w:val="8308208"/>
          </w:sdtPr>
          <w:sdtEndPr/>
          <w:sdtContent>
            <w:sdt>
              <w:sdtPr>
                <w:alias w:val="Meeting Information"/>
                <w:tag w:val="Meeting Information"/>
                <w:id w:val="1202671309"/>
              </w:sdtPr>
              <w:sdtEndPr/>
              <w:sdtContent>
                <w:sdt>
                  <w:sdtPr>
                    <w:alias w:val="Meeting Information"/>
                    <w:tag w:val="Meeting Information"/>
                    <w:id w:val="1404569600"/>
                  </w:sdtPr>
                  <w:sdtEndPr/>
                  <w:sdtContent>
                    <w:p w14:paraId="083CB1AE" w14:textId="77777777" w:rsidR="00A73646" w:rsidRDefault="00A73646" w:rsidP="0068392A">
                      <w:pPr>
                        <w:pStyle w:val="MeetingInfo"/>
                      </w:pPr>
                      <w:r>
                        <w:t>Fifteenth Session</w:t>
                      </w:r>
                    </w:p>
                    <w:p w14:paraId="1B791EB4" w14:textId="77777777" w:rsidR="00A73646" w:rsidRDefault="00A73646" w:rsidP="0068392A">
                      <w:pPr>
                        <w:pStyle w:val="MeetingInfo"/>
                      </w:pPr>
                      <w:r>
                        <w:t>Virtual Meeting, 16, 18 March and 1 April 2021</w:t>
                      </w:r>
                    </w:p>
                    <w:p w14:paraId="109BA59A" w14:textId="77777777" w:rsidR="00A73646" w:rsidRDefault="00A73646" w:rsidP="0068392A">
                      <w:pPr>
                        <w:pStyle w:val="MeetingInfo"/>
                      </w:pPr>
                      <w:r w:rsidRPr="00492626">
                        <w:t>Update from</w:t>
                      </w:r>
                      <w:r>
                        <w:t xml:space="preserve"> the Sea Containers Task </w:t>
                      </w:r>
                      <w:proofErr w:type="gramStart"/>
                      <w:r>
                        <w:t>Force  -</w:t>
                      </w:r>
                      <w:proofErr w:type="gramEnd"/>
                      <w:r>
                        <w:t xml:space="preserve"> </w:t>
                      </w:r>
                      <w:r w:rsidRPr="00D56044">
                        <w:t>Proposal for a Path Forward for the Sea Container Task Force</w:t>
                      </w:r>
                    </w:p>
                    <w:p w14:paraId="3E2CBFFD" w14:textId="77777777" w:rsidR="00A73646" w:rsidRDefault="00A73646" w:rsidP="0068392A">
                      <w:pPr>
                        <w:pStyle w:val="MeetingInfo"/>
                      </w:pPr>
                      <w:r>
                        <w:t>Agenda item 11.3</w:t>
                      </w:r>
                    </w:p>
                    <w:p w14:paraId="55CE2BD8" w14:textId="77777777" w:rsidR="00A73646" w:rsidRDefault="00A73646" w:rsidP="0068392A">
                      <w:pPr>
                        <w:pStyle w:val="MeetingInfo"/>
                      </w:pPr>
                      <w:r w:rsidRPr="00C04EFC">
                        <w:t>Prep</w:t>
                      </w:r>
                      <w:r>
                        <w:t xml:space="preserve">ared by </w:t>
                      </w:r>
                      <w:r w:rsidRPr="00D56044">
                        <w:t>Australia, Canada, New Zealand, and the United States</w:t>
                      </w:r>
                    </w:p>
                    <w:p w14:paraId="6174DCA0" w14:textId="77777777" w:rsidR="00A73646" w:rsidRPr="00D56044" w:rsidRDefault="00A73646" w:rsidP="0068392A">
                      <w:pPr>
                        <w:pStyle w:val="MeetingInfo"/>
                      </w:pPr>
                      <w:r w:rsidRPr="00D56044">
                        <w:rPr>
                          <w:i/>
                        </w:rPr>
                        <w:t>English, French and Spanish</w:t>
                      </w:r>
                      <w:r>
                        <w:t xml:space="preserve"> </w:t>
                      </w:r>
                    </w:p>
                  </w:sdtContent>
                </w:sdt>
              </w:sdtContent>
            </w:sdt>
          </w:sdtContent>
        </w:sdt>
        <w:p w14:paraId="5B40DA30" w14:textId="77777777" w:rsidR="00A73646" w:rsidRPr="00D56044" w:rsidRDefault="00A73646" w:rsidP="0068392A">
          <w:r w:rsidRPr="0073685B">
            <w:t xml:space="preserve"> </w:t>
          </w:r>
          <w:bookmarkEnd w:id="1"/>
          <w:r w:rsidRPr="0073685B">
            <w:t xml:space="preserve"> </w:t>
          </w:r>
          <w:bookmarkStart w:id="3" w:name="SummaryBoxBookmark"/>
          <w:r w:rsidRPr="0073685B">
            <w:t xml:space="preserve"> </w:t>
          </w:r>
          <w:bookmarkEnd w:id="3"/>
          <w:r w:rsidRPr="0073685B">
            <w:t xml:space="preserve"> </w:t>
          </w:r>
          <w:bookmarkStart w:id="4" w:name="TableOfContentsRangeBookmark"/>
          <w:r w:rsidRPr="0073685B">
            <w:t xml:space="preserve"> </w:t>
          </w:r>
        </w:p>
        <w:bookmarkEnd w:id="4" w:displacedByCustomXml="next"/>
      </w:sdtContent>
    </w:sdt>
    <w:p w14:paraId="61FF4B23" w14:textId="77777777" w:rsidR="00A73646" w:rsidRPr="00D56044" w:rsidRDefault="00A73646" w:rsidP="00A73646">
      <w:pPr>
        <w:pStyle w:val="Heading1"/>
        <w:overflowPunct/>
        <w:autoSpaceDE/>
        <w:autoSpaceDN/>
        <w:adjustRightInd/>
        <w:spacing w:before="240" w:after="200"/>
        <w:ind w:left="709" w:hanging="708"/>
        <w:jc w:val="center"/>
        <w:textAlignment w:val="auto"/>
      </w:pPr>
      <w:r w:rsidRPr="00D56044">
        <w:t>INTRODUCTION</w:t>
      </w:r>
    </w:p>
    <w:p w14:paraId="19F2668B" w14:textId="77777777" w:rsidR="00A73646" w:rsidRPr="00D56044" w:rsidRDefault="00A73646" w:rsidP="0068392A">
      <w:pPr>
        <w:pStyle w:val="NewPara"/>
        <w:jc w:val="both"/>
      </w:pPr>
      <w:r w:rsidRPr="00D56044">
        <w:t xml:space="preserve">Australia, Canada, New Zealand, and the United States wish to share with the Commission on Phytosanitary Measures (CPM) and the Sea Container Task Force (SCTF) some perspectives and suggestions for a practical way forward with respect to sea container hygiene. Specifically, we request the SCTF to consider the strategic perspectives and suggestions laid out in this paper as it finalizes its deliberations and formulates recommendations for CPM consideration in 2022. </w:t>
      </w:r>
    </w:p>
    <w:p w14:paraId="03549A66" w14:textId="77777777" w:rsidR="00A73646" w:rsidRPr="00D56044" w:rsidRDefault="00A73646" w:rsidP="00A73646">
      <w:pPr>
        <w:pStyle w:val="Heading1"/>
        <w:overflowPunct/>
        <w:autoSpaceDE/>
        <w:autoSpaceDN/>
        <w:adjustRightInd/>
        <w:spacing w:before="240" w:after="200"/>
        <w:ind w:left="709" w:hanging="708"/>
        <w:jc w:val="center"/>
        <w:textAlignment w:val="auto"/>
      </w:pPr>
      <w:r w:rsidRPr="00D56044">
        <w:t>BACKGROUND</w:t>
      </w:r>
    </w:p>
    <w:p w14:paraId="5FB3DB7F" w14:textId="77777777" w:rsidR="00A73646" w:rsidRPr="00D56044" w:rsidRDefault="00A73646" w:rsidP="0068392A">
      <w:pPr>
        <w:pStyle w:val="NewPara"/>
        <w:jc w:val="both"/>
      </w:pPr>
      <w:r w:rsidRPr="00D56044">
        <w:t xml:space="preserve">In 2015, the CPM agreed on a five-year hiatus from pursuing the development of a global standard on sea containers. At the time, a number of contracting parties and several regions were not ready to adopt the draft ISPM. There were various operational, legal, and practical issues that exceeded national plant protection organization (NPPO) capacity and/or authority to implement a standard. Hence, it was agreed that at the five-year mark and based on SCTF analysis of the impact of the complimentary actions recommended by the CPM on reducing pest risks associated with sea containers, the CPM would consider the need for developing a standard. More recent concerns related to ‘contaminant’ and quarantine pest detections in containers continue to highlight the urgent need for a global solution. </w:t>
      </w:r>
    </w:p>
    <w:p w14:paraId="11F889EF" w14:textId="77777777" w:rsidR="00A73646" w:rsidRPr="00D56044" w:rsidRDefault="00A73646" w:rsidP="0068392A">
      <w:pPr>
        <w:pStyle w:val="NewPara"/>
        <w:jc w:val="both"/>
      </w:pPr>
      <w:r w:rsidRPr="00D56044">
        <w:t xml:space="preserve">The SCTF has made good progress in some areas, but other activities have become complex and have not been fully realized or completed. Covid measures have had an impact on this. Therefore, with one year of work left, the SCTF should focus its efforts on how best to support decision-making at CPM-16. Through a more focused work plan for 2021, the SCTF can develop a report that: a) identifies key considerations for CPM; b) options for next steps; c) analysis of pros and cons of these options; and </w:t>
      </w:r>
      <w:r w:rsidRPr="00D56044">
        <w:lastRenderedPageBreak/>
        <w:t>d) an outline of any suggested follow-up guidance documents This approach for the SCTF will ensure that CPM members will be more fully informed and prepared in their decision-making.</w:t>
      </w:r>
    </w:p>
    <w:p w14:paraId="06D0446F" w14:textId="77777777" w:rsidR="00A73646" w:rsidRPr="00D56044" w:rsidRDefault="00A73646" w:rsidP="00A73646">
      <w:pPr>
        <w:pStyle w:val="Heading1"/>
        <w:overflowPunct/>
        <w:autoSpaceDE/>
        <w:autoSpaceDN/>
        <w:adjustRightInd/>
        <w:spacing w:before="240" w:after="200"/>
        <w:ind w:left="709" w:hanging="708"/>
        <w:jc w:val="center"/>
        <w:textAlignment w:val="auto"/>
      </w:pPr>
      <w:r w:rsidRPr="00D56044">
        <w:t>CONSIDERATIONS FOR THE SCTF</w:t>
      </w:r>
    </w:p>
    <w:p w14:paraId="7EDE090C" w14:textId="77777777" w:rsidR="00A73646" w:rsidRPr="00D56044" w:rsidRDefault="00A73646" w:rsidP="0068392A">
      <w:pPr>
        <w:pStyle w:val="NewPara"/>
      </w:pPr>
      <w:r w:rsidRPr="00D56044">
        <w:t xml:space="preserve">We believe, to the extent they are able, the SCTF should address some core questions which, depending on the answer, may help provide a stronger basis for planning the next steps going forward. These questions are: </w:t>
      </w:r>
    </w:p>
    <w:p w14:paraId="270E1071" w14:textId="77777777" w:rsidR="00A73646" w:rsidRDefault="00A73646" w:rsidP="00A73646">
      <w:pPr>
        <w:pStyle w:val="SequentialList"/>
        <w:numPr>
          <w:ilvl w:val="0"/>
          <w:numId w:val="60"/>
        </w:numPr>
      </w:pPr>
      <w:r w:rsidRPr="00D56044">
        <w:t>What have been the main accomplishments that regions have seen over the past five years in their respective efforts to address the issue of pest risk associated with sea containers? What have the regions learned about what works and what does not?</w:t>
      </w:r>
    </w:p>
    <w:p w14:paraId="619974EC" w14:textId="77777777" w:rsidR="00A73646" w:rsidRPr="00D56044" w:rsidRDefault="00A73646" w:rsidP="0068392A">
      <w:pPr>
        <w:pStyle w:val="SequentialList"/>
        <w:numPr>
          <w:ilvl w:val="0"/>
          <w:numId w:val="0"/>
        </w:numPr>
        <w:ind w:left="720"/>
      </w:pPr>
    </w:p>
    <w:p w14:paraId="57277293" w14:textId="77777777" w:rsidR="00A73646" w:rsidRDefault="00A73646" w:rsidP="00A73646">
      <w:pPr>
        <w:pStyle w:val="SequentialList"/>
        <w:numPr>
          <w:ilvl w:val="0"/>
          <w:numId w:val="60"/>
        </w:numPr>
      </w:pPr>
      <w:r w:rsidRPr="00D56044">
        <w:t xml:space="preserve">What have we learned over these past five years about sea containers and the comparative level of risk they pose in terms of </w:t>
      </w:r>
      <w:proofErr w:type="spellStart"/>
      <w:r w:rsidRPr="00D56044">
        <w:t>harboring</w:t>
      </w:r>
      <w:proofErr w:type="spellEnd"/>
      <w:r w:rsidRPr="00D56044">
        <w:t xml:space="preserve"> and spreading pests? Is the situation better or worse than five years ago? What are CPM members’ view and experience on this? </w:t>
      </w:r>
    </w:p>
    <w:p w14:paraId="1F636060" w14:textId="77777777" w:rsidR="00A73646" w:rsidRPr="00D56044" w:rsidRDefault="00A73646" w:rsidP="0068392A">
      <w:pPr>
        <w:pStyle w:val="SequentialList"/>
        <w:numPr>
          <w:ilvl w:val="0"/>
          <w:numId w:val="0"/>
        </w:numPr>
        <w:ind w:left="720"/>
      </w:pPr>
    </w:p>
    <w:p w14:paraId="4274F6BA" w14:textId="77777777" w:rsidR="00A73646" w:rsidRDefault="00A73646" w:rsidP="00A73646">
      <w:pPr>
        <w:pStyle w:val="SequentialList"/>
        <w:numPr>
          <w:ilvl w:val="0"/>
          <w:numId w:val="60"/>
        </w:numPr>
      </w:pPr>
      <w:r w:rsidRPr="00D56044">
        <w:t>Is the industry using any part of the International Maritime Organization (IMO) container cleanliness code (i.e., IMO/ILO/UNECE Code of Practice for Packing Cargo Transport Units (CTU Code) to improve things? Are there any data on the level of uptake of the CTU Code over the last 5 years? What role does the CTU Code play in addressing NPPOs concerns with preventing the spread of pests? Does this CTU Code have any potential valuable role in the future from a phytosanitary standpoint? </w:t>
      </w:r>
    </w:p>
    <w:p w14:paraId="1C2A0BB9" w14:textId="77777777" w:rsidR="00A73646" w:rsidRPr="00D56044" w:rsidRDefault="00A73646" w:rsidP="0068392A">
      <w:pPr>
        <w:pStyle w:val="SequentialList"/>
        <w:numPr>
          <w:ilvl w:val="0"/>
          <w:numId w:val="0"/>
        </w:numPr>
        <w:ind w:left="720"/>
      </w:pPr>
    </w:p>
    <w:p w14:paraId="14107CFF" w14:textId="77777777" w:rsidR="00A73646" w:rsidRDefault="00A73646" w:rsidP="00A73646">
      <w:pPr>
        <w:pStyle w:val="SequentialList"/>
        <w:numPr>
          <w:ilvl w:val="0"/>
          <w:numId w:val="60"/>
        </w:numPr>
      </w:pPr>
      <w:r w:rsidRPr="00D56044">
        <w:t xml:space="preserve">What have we learned about the various industry components, logistics chain, and their willingness and capacity to partner with NPPOs in addressing the pest risk issue? </w:t>
      </w:r>
    </w:p>
    <w:p w14:paraId="5797EC5F" w14:textId="77777777" w:rsidR="00A73646" w:rsidRPr="00D56044" w:rsidRDefault="00A73646" w:rsidP="0068392A">
      <w:pPr>
        <w:pStyle w:val="SequentialList"/>
        <w:numPr>
          <w:ilvl w:val="0"/>
          <w:numId w:val="0"/>
        </w:numPr>
        <w:ind w:left="720"/>
      </w:pPr>
    </w:p>
    <w:p w14:paraId="7A53D904" w14:textId="77777777" w:rsidR="00A73646" w:rsidRDefault="00A73646" w:rsidP="00A73646">
      <w:pPr>
        <w:pStyle w:val="SequentialList"/>
        <w:numPr>
          <w:ilvl w:val="0"/>
          <w:numId w:val="60"/>
        </w:numPr>
      </w:pPr>
      <w:r w:rsidRPr="00D56044">
        <w:t xml:space="preserve">Given there are many players in the supply chain who can contribute to cleanliness, is there a need to consider additional guidelines and industry practices targeted at these various entities? </w:t>
      </w:r>
    </w:p>
    <w:p w14:paraId="7DB96CDB" w14:textId="77777777" w:rsidR="00A73646" w:rsidRPr="00D56044" w:rsidRDefault="00A73646" w:rsidP="0068392A">
      <w:pPr>
        <w:pStyle w:val="SequentialList"/>
        <w:numPr>
          <w:ilvl w:val="0"/>
          <w:numId w:val="0"/>
        </w:numPr>
        <w:ind w:left="720" w:hanging="363"/>
      </w:pPr>
    </w:p>
    <w:p w14:paraId="4D91F7E2" w14:textId="77777777" w:rsidR="00A73646" w:rsidRDefault="00A73646" w:rsidP="00A73646">
      <w:pPr>
        <w:pStyle w:val="SequentialList"/>
        <w:numPr>
          <w:ilvl w:val="0"/>
          <w:numId w:val="60"/>
        </w:numPr>
      </w:pPr>
      <w:r w:rsidRPr="00D56044">
        <w:t xml:space="preserve">Do incentives work? Or do NPPOs and governments need to rely more on applying regulatory actions at their borders to reject shipments and force industry to alter its </w:t>
      </w:r>
      <w:proofErr w:type="spellStart"/>
      <w:r w:rsidRPr="00D56044">
        <w:t>behavior</w:t>
      </w:r>
      <w:proofErr w:type="spellEnd"/>
      <w:r w:rsidRPr="00D56044">
        <w:t>?</w:t>
      </w:r>
    </w:p>
    <w:p w14:paraId="73DF6959" w14:textId="77777777" w:rsidR="00A73646" w:rsidRPr="00D56044" w:rsidRDefault="00A73646" w:rsidP="0068392A">
      <w:pPr>
        <w:pStyle w:val="SequentialList"/>
        <w:numPr>
          <w:ilvl w:val="0"/>
          <w:numId w:val="0"/>
        </w:numPr>
        <w:ind w:left="720" w:hanging="363"/>
      </w:pPr>
    </w:p>
    <w:p w14:paraId="5CD969C6" w14:textId="77777777" w:rsidR="00A73646" w:rsidRDefault="00A73646" w:rsidP="00A73646">
      <w:pPr>
        <w:pStyle w:val="SequentialList"/>
        <w:numPr>
          <w:ilvl w:val="0"/>
          <w:numId w:val="60"/>
        </w:numPr>
      </w:pPr>
      <w:r w:rsidRPr="00D56044">
        <w:t>What are the major constraints that may limit the success of an effective voluntary program which would induce the industry to increase the cleanliness of containers? </w:t>
      </w:r>
    </w:p>
    <w:p w14:paraId="1BBBC73E" w14:textId="77777777" w:rsidR="00A73646" w:rsidRPr="00D56044" w:rsidRDefault="00A73646" w:rsidP="0068392A">
      <w:pPr>
        <w:pStyle w:val="SequentialList"/>
        <w:numPr>
          <w:ilvl w:val="0"/>
          <w:numId w:val="0"/>
        </w:numPr>
        <w:ind w:left="720" w:hanging="363"/>
      </w:pPr>
    </w:p>
    <w:p w14:paraId="0DD76819" w14:textId="77777777" w:rsidR="00A73646" w:rsidRDefault="00A73646" w:rsidP="00A73646">
      <w:pPr>
        <w:pStyle w:val="SequentialList"/>
        <w:numPr>
          <w:ilvl w:val="0"/>
          <w:numId w:val="60"/>
        </w:numPr>
      </w:pPr>
      <w:r w:rsidRPr="00D56044">
        <w:t xml:space="preserve">Is there any opportunity and value for alignment of specific activities that contracting parties should consider? Specifically, which are the points in the logistics chain which have the greatest potential value in terms of phytosanitary alignment? </w:t>
      </w:r>
    </w:p>
    <w:p w14:paraId="1BC14101" w14:textId="77777777" w:rsidR="00A73646" w:rsidRPr="00D56044" w:rsidRDefault="00A73646" w:rsidP="0068392A">
      <w:pPr>
        <w:pStyle w:val="SequentialList"/>
        <w:numPr>
          <w:ilvl w:val="0"/>
          <w:numId w:val="0"/>
        </w:numPr>
        <w:ind w:left="720" w:hanging="363"/>
      </w:pPr>
    </w:p>
    <w:p w14:paraId="5FE7867F" w14:textId="77777777" w:rsidR="00A73646" w:rsidRDefault="00A73646" w:rsidP="00A73646">
      <w:pPr>
        <w:pStyle w:val="SequentialList"/>
        <w:numPr>
          <w:ilvl w:val="0"/>
          <w:numId w:val="60"/>
        </w:numPr>
      </w:pPr>
      <w:r w:rsidRPr="00D56044">
        <w:t>What are the various activities or practices that could be implemented by contracting parties which is consistent with their operational capacity and national legislation, to achieve the common outcome of minimizing phytosanitary risk?</w:t>
      </w:r>
    </w:p>
    <w:p w14:paraId="501FACBF" w14:textId="77777777" w:rsidR="00A73646" w:rsidRPr="00D56044" w:rsidRDefault="00A73646" w:rsidP="0068392A">
      <w:pPr>
        <w:pStyle w:val="SequentialList"/>
        <w:numPr>
          <w:ilvl w:val="0"/>
          <w:numId w:val="0"/>
        </w:numPr>
        <w:ind w:left="720"/>
      </w:pPr>
    </w:p>
    <w:p w14:paraId="6A3309D4" w14:textId="77777777" w:rsidR="00A73646" w:rsidRDefault="00A73646" w:rsidP="00A73646">
      <w:pPr>
        <w:pStyle w:val="SequentialList"/>
        <w:numPr>
          <w:ilvl w:val="0"/>
          <w:numId w:val="60"/>
        </w:numPr>
      </w:pPr>
      <w:r w:rsidRPr="00D56044">
        <w:t xml:space="preserve">If we pursue the development of IPPC guidance on sea containers, what would be the most critical and essential elements that need to be addressed? </w:t>
      </w:r>
    </w:p>
    <w:p w14:paraId="430D002D" w14:textId="77777777" w:rsidR="00A73646" w:rsidRPr="00D56044" w:rsidRDefault="00A73646" w:rsidP="0068392A">
      <w:pPr>
        <w:pStyle w:val="SequentialList"/>
        <w:numPr>
          <w:ilvl w:val="0"/>
          <w:numId w:val="0"/>
        </w:numPr>
        <w:ind w:left="720"/>
      </w:pPr>
    </w:p>
    <w:p w14:paraId="64CCA958" w14:textId="77777777" w:rsidR="00A73646" w:rsidRPr="00D56044" w:rsidRDefault="00A73646" w:rsidP="00A73646">
      <w:pPr>
        <w:pStyle w:val="SequentialList"/>
        <w:numPr>
          <w:ilvl w:val="0"/>
          <w:numId w:val="60"/>
        </w:numPr>
      </w:pPr>
      <w:r w:rsidRPr="00D56044">
        <w:t>Should hosting an international workshop (or special CPM session) be considered aimed at exchanging regional lessons and experiences gained over these past five years, assessing the industry’s role, evaluating the role of the IMO as a potential partner, and identifying the outstanding issues and critical elements? It would be important to hear the perspectives and experiences from the different regions.</w:t>
      </w:r>
    </w:p>
    <w:p w14:paraId="1A897D7F" w14:textId="77777777" w:rsidR="00A73646" w:rsidRPr="00D56044" w:rsidRDefault="00A73646" w:rsidP="0068392A">
      <w:pPr>
        <w:pStyle w:val="NewPara"/>
        <w:jc w:val="both"/>
      </w:pPr>
      <w:r w:rsidRPr="00D56044">
        <w:t xml:space="preserve">During these past five years, it remains clear to most contracting parties that sea containers are indeed a pathway for pests and something we can no longer ignore. This concern has been recently </w:t>
      </w:r>
      <w:r w:rsidRPr="00D56044">
        <w:lastRenderedPageBreak/>
        <w:t>reflected in the ongoing discussions about “contaminants” and other significant quarantine pest detections in containers.</w:t>
      </w:r>
    </w:p>
    <w:p w14:paraId="27A03386" w14:textId="77777777" w:rsidR="00A73646" w:rsidRPr="00D56044" w:rsidRDefault="00A73646" w:rsidP="0068392A">
      <w:pPr>
        <w:pStyle w:val="NewPara"/>
        <w:jc w:val="both"/>
      </w:pPr>
      <w:r w:rsidRPr="00D56044">
        <w:t xml:space="preserve">Some countries appear ready to move forward to develop a standard. Other regions remain more hesitant and uncertain in the absence of information on what a standard may entail and their operational feasibility. </w:t>
      </w:r>
    </w:p>
    <w:p w14:paraId="47E572F9" w14:textId="77777777" w:rsidR="00A73646" w:rsidRPr="00D56044" w:rsidRDefault="00A73646" w:rsidP="0068392A">
      <w:pPr>
        <w:pStyle w:val="NewPara"/>
        <w:jc w:val="both"/>
      </w:pPr>
      <w:r w:rsidRPr="00D56044">
        <w:t xml:space="preserve">Hence, we believe a stepwise process going forward would create a stronger basis upon which to determine what a practical, operationally feasible, and acceptable approach may look like. </w:t>
      </w:r>
    </w:p>
    <w:p w14:paraId="48788563" w14:textId="77777777" w:rsidR="00A73646" w:rsidRDefault="00A73646" w:rsidP="00A73646">
      <w:pPr>
        <w:pStyle w:val="Heading1"/>
        <w:overflowPunct/>
        <w:autoSpaceDE/>
        <w:autoSpaceDN/>
        <w:adjustRightInd/>
        <w:spacing w:before="240" w:after="200"/>
        <w:ind w:left="709" w:hanging="708"/>
        <w:jc w:val="center"/>
        <w:textAlignment w:val="auto"/>
      </w:pPr>
      <w:r w:rsidRPr="00D56044">
        <w:t>PROPOSAL</w:t>
      </w:r>
    </w:p>
    <w:p w14:paraId="52A1F304" w14:textId="77777777" w:rsidR="00A73646" w:rsidRPr="00D56044" w:rsidRDefault="00A73646" w:rsidP="0068392A">
      <w:pPr>
        <w:pStyle w:val="NewPara"/>
      </w:pPr>
      <w:r w:rsidRPr="00D56044">
        <w:t>We suggest that the SCTF consider a step-wise path forward which would entail the following:</w:t>
      </w:r>
    </w:p>
    <w:p w14:paraId="29F4C84E" w14:textId="77777777" w:rsidR="00A73646" w:rsidRPr="00D56044" w:rsidRDefault="00A73646" w:rsidP="00A73646">
      <w:pPr>
        <w:pStyle w:val="SequentialList"/>
        <w:numPr>
          <w:ilvl w:val="0"/>
          <w:numId w:val="62"/>
        </w:numPr>
      </w:pPr>
      <w:r w:rsidRPr="00D56044">
        <w:t>The SCTF considers the core strategic questions laid out in this paper and address them to the extent they can prior to reporting back to CPM-16 in 2022.</w:t>
      </w:r>
    </w:p>
    <w:p w14:paraId="2EB528BC" w14:textId="77777777" w:rsidR="00A73646" w:rsidRPr="00D56044" w:rsidRDefault="00A73646" w:rsidP="00A73646">
      <w:pPr>
        <w:pStyle w:val="SequentialList"/>
        <w:numPr>
          <w:ilvl w:val="0"/>
          <w:numId w:val="60"/>
        </w:numPr>
      </w:pPr>
      <w:r w:rsidRPr="00D56044">
        <w:t xml:space="preserve">The SCTF considers the concept of holding an international workshop (or special session) in late 2022 which would allow for: a) the discussion of the SCTF report; b) exchange of lessons learned, views, experiences, and recommendations among the regions; and c) the identification of the critical elements which need to be considered in any future solution including IPPC guidance. </w:t>
      </w:r>
    </w:p>
    <w:p w14:paraId="76E88A50" w14:textId="77777777" w:rsidR="00A73646" w:rsidRPr="00D56044" w:rsidRDefault="00A73646" w:rsidP="00A73646">
      <w:pPr>
        <w:pStyle w:val="SequentialList"/>
        <w:numPr>
          <w:ilvl w:val="0"/>
          <w:numId w:val="60"/>
        </w:numPr>
      </w:pPr>
      <w:r w:rsidRPr="00D56044">
        <w:t>The revision of the CPM Recommendation No. 6 on Sea Containers to reflect a more current and updated understanding of the sea container issues, including the development and incorporation of a code of good practices embedded in the Recommendation (this code of good practices may be the foundation of a standard). This updated Recommendation should take into account the outcomes and findings of the international workshop.</w:t>
      </w:r>
    </w:p>
    <w:p w14:paraId="520F0CFB" w14:textId="77777777" w:rsidR="00A73646" w:rsidRPr="00D56044" w:rsidRDefault="00A73646" w:rsidP="00A73646">
      <w:pPr>
        <w:pStyle w:val="SequentialList"/>
        <w:numPr>
          <w:ilvl w:val="0"/>
          <w:numId w:val="60"/>
        </w:numPr>
      </w:pPr>
      <w:r w:rsidRPr="00D56044">
        <w:t>The development of any other recommended actions that CPM may wish to consider based on outcomes from the international workshop, consistent with the normal scope of IPPC and NPPO functions and mandates.</w:t>
      </w:r>
    </w:p>
    <w:p w14:paraId="2671E502" w14:textId="77777777" w:rsidR="00A73646" w:rsidRDefault="00A73646" w:rsidP="00A73646">
      <w:pPr>
        <w:pStyle w:val="SequentialList"/>
        <w:numPr>
          <w:ilvl w:val="0"/>
          <w:numId w:val="60"/>
        </w:numPr>
      </w:pPr>
      <w:r w:rsidRPr="00D56044">
        <w:t>Developing a Terms of Reference for a Working Group to drive delivery of 2, 3, and 4 above, to be approved by CPM-16.</w:t>
      </w:r>
    </w:p>
    <w:p w14:paraId="7A6B3FCF" w14:textId="77777777" w:rsidR="00A73646" w:rsidRPr="00D56044" w:rsidRDefault="00A73646" w:rsidP="0068392A">
      <w:pPr>
        <w:pStyle w:val="NewPara"/>
        <w:jc w:val="both"/>
      </w:pPr>
      <w:r w:rsidRPr="00D56044">
        <w:t>We look forward to the SCTF report and hope that this paper provides some helpful suggestions to this Task Force in its final year of deliberations, and in formulating its suggestions on how best to advance an aligned and practical approach on sea containers</w:t>
      </w:r>
    </w:p>
    <w:p w14:paraId="7F7BF057" w14:textId="77777777" w:rsidR="00A73646" w:rsidRPr="00D56044" w:rsidRDefault="00A73646" w:rsidP="0068392A"/>
    <w:p w14:paraId="04CA3368" w14:textId="77777777" w:rsidR="00A73646" w:rsidRPr="00A73646" w:rsidRDefault="00A73646" w:rsidP="001D4424"/>
    <w:p w14:paraId="08620727" w14:textId="77777777" w:rsidR="00A73646" w:rsidRPr="001D4424" w:rsidRDefault="00A73646" w:rsidP="001D4424">
      <w:pPr>
        <w:rPr>
          <w:lang w:val="en-US"/>
        </w:rPr>
      </w:pPr>
    </w:p>
    <w:sectPr w:rsidR="00A73646" w:rsidRPr="001D4424" w:rsidSect="000769A2">
      <w:headerReference w:type="even" r:id="rId8"/>
      <w:headerReference w:type="default" r:id="rId9"/>
      <w:footerReference w:type="even" r:id="rId10"/>
      <w:footerReference w:type="default" r:id="rId11"/>
      <w:headerReference w:type="first" r:id="rId12"/>
      <w:footerReference w:type="first" r:id="rId13"/>
      <w:pgSz w:w="11906" w:h="16838" w:code="9"/>
      <w:pgMar w:top="1559" w:right="1418" w:bottom="1418" w:left="1418"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87E56" w14:textId="77777777" w:rsidR="00A17D35" w:rsidRDefault="00A17D35" w:rsidP="00B74ECA">
      <w:r>
        <w:separator/>
      </w:r>
    </w:p>
  </w:endnote>
  <w:endnote w:type="continuationSeparator" w:id="0">
    <w:p w14:paraId="7A9CB7DF" w14:textId="77777777" w:rsidR="00A17D35" w:rsidRDefault="00A17D35" w:rsidP="00B7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Times">
    <w:panose1 w:val="020206030504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842DF" w14:textId="0884E962" w:rsidR="00006ABA" w:rsidRPr="008F34E3" w:rsidRDefault="00101D7B" w:rsidP="00A73646">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6551C">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6551C">
      <w:rPr>
        <w:rFonts w:cs="Arial"/>
        <w:noProof/>
        <w:szCs w:val="18"/>
      </w:rPr>
      <w:t>7</w:t>
    </w:r>
    <w:r w:rsidRPr="00377B19">
      <w:rPr>
        <w:rFonts w:cs="Arial"/>
        <w:szCs w:val="18"/>
      </w:rPr>
      <w:fldChar w:fldCharType="end"/>
    </w:r>
    <w:r w:rsidRPr="00377B19">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2B37" w14:textId="07EAD32A" w:rsidR="00006ABA" w:rsidRDefault="00086BAB" w:rsidP="00A73646">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6551C">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6551C">
      <w:rPr>
        <w:rFonts w:cs="Arial"/>
        <w:noProof/>
        <w:szCs w:val="18"/>
      </w:rPr>
      <w:t>7</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AB204" w14:textId="125E0201" w:rsidR="00006ABA" w:rsidRPr="00A73646" w:rsidRDefault="00296EEF" w:rsidP="00A73646">
    <w:pPr>
      <w:pStyle w:val="IPPFooter"/>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6551C">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6551C">
      <w:rPr>
        <w:rFonts w:cs="Arial"/>
        <w:noProof/>
        <w:szCs w:val="18"/>
      </w:rPr>
      <w:t>7</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769B4" w14:textId="77777777" w:rsidR="00A17D35" w:rsidRDefault="00A17D35" w:rsidP="00B74ECA">
      <w:r>
        <w:separator/>
      </w:r>
    </w:p>
  </w:footnote>
  <w:footnote w:type="continuationSeparator" w:id="0">
    <w:p w14:paraId="5A92B5B9" w14:textId="77777777" w:rsidR="00A17D35" w:rsidRDefault="00A17D35" w:rsidP="00B74ECA">
      <w:r>
        <w:continuationSeparator/>
      </w:r>
    </w:p>
  </w:footnote>
  <w:footnote w:id="1">
    <w:p w14:paraId="5E9951F9" w14:textId="77777777" w:rsidR="00FF0FD9" w:rsidRDefault="00FF0FD9" w:rsidP="00A73646">
      <w:pPr>
        <w:pStyle w:val="IPPFootnote"/>
      </w:pPr>
      <w:r>
        <w:rPr>
          <w:rStyle w:val="FootnoteReference"/>
        </w:rPr>
        <w:footnoteRef/>
      </w:r>
      <w:r>
        <w:t xml:space="preserve"> </w:t>
      </w:r>
      <w:r w:rsidRPr="000436F4">
        <w:rPr>
          <w:rFonts w:eastAsiaTheme="minorEastAsia"/>
        </w:rPr>
        <w:t>VM</w:t>
      </w:r>
      <w:r>
        <w:rPr>
          <w:rFonts w:eastAsiaTheme="minorEastAsia"/>
        </w:rPr>
        <w:t>11</w:t>
      </w:r>
      <w:r w:rsidRPr="000436F4">
        <w:rPr>
          <w:rFonts w:eastAsiaTheme="minorEastAsia"/>
        </w:rPr>
        <w:t>_0</w:t>
      </w:r>
      <w:r>
        <w:rPr>
          <w:rFonts w:eastAsiaTheme="minorEastAsia"/>
        </w:rPr>
        <w:t>2</w:t>
      </w:r>
      <w:r w:rsidRPr="000436F4">
        <w:rPr>
          <w:rFonts w:eastAsiaTheme="minorEastAsia"/>
        </w:rPr>
        <w:t>_IC_202</w:t>
      </w:r>
      <w:r>
        <w:rPr>
          <w:rFonts w:eastAsiaTheme="minorEastAsia"/>
        </w:rPr>
        <w:t>1</w:t>
      </w:r>
      <w:r w:rsidRPr="000436F4">
        <w:rPr>
          <w:rFonts w:eastAsiaTheme="minorEastAsia"/>
        </w:rPr>
        <w:t>_</w:t>
      </w:r>
      <w:r>
        <w:rPr>
          <w:rFonts w:eastAsiaTheme="minorEastAsia"/>
        </w:rPr>
        <w:t>Feb</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9528F" w14:textId="41C5E575" w:rsidR="00CF4E63" w:rsidRPr="008F34E3" w:rsidRDefault="00423161" w:rsidP="00A73646">
    <w:pPr>
      <w:pStyle w:val="IPPHeader"/>
      <w:spacing w:after="0"/>
    </w:pPr>
    <w:r w:rsidRPr="00423161">
      <w:t>02_SCTF_VM_2021_Apr</w:t>
    </w:r>
    <w:r>
      <w:t xml:space="preserve"> (4.1)</w:t>
    </w:r>
    <w:r>
      <w:tab/>
    </w:r>
    <w:r w:rsidR="003F6F64" w:rsidRPr="003F6F64">
      <w:t>IC updates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47072" w14:textId="271D83BD" w:rsidR="00C06687" w:rsidRPr="00083EEF" w:rsidRDefault="00C06687" w:rsidP="00C06687">
    <w:pPr>
      <w:pStyle w:val="IPPHeader"/>
      <w:rPr>
        <w:i/>
      </w:rPr>
    </w:pPr>
    <w:r w:rsidRPr="00C06687">
      <w:t>IC updates</w:t>
    </w:r>
    <w:r>
      <w:t xml:space="preserve"> </w:t>
    </w:r>
    <w:r>
      <w:ptab w:relativeTo="margin" w:alignment="right" w:leader="none"/>
    </w:r>
    <w:r w:rsidRPr="00423161">
      <w:t>02_SCTF_VM_2021_Apr</w:t>
    </w:r>
    <w:r>
      <w:t xml:space="preserve"> (4.1)</w:t>
    </w:r>
  </w:p>
  <w:p w14:paraId="16737676" w14:textId="0D8DDAA9" w:rsidR="00CF4E63" w:rsidRDefault="00CF4E63" w:rsidP="00CF4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EC244" w14:textId="74DCD096" w:rsidR="00A20713" w:rsidRPr="007E205D" w:rsidRDefault="00A20713" w:rsidP="00A20713">
    <w:pPr>
      <w:pStyle w:val="IPPHeader"/>
      <w:spacing w:after="0"/>
    </w:pPr>
    <w:r>
      <w:rPr>
        <w:noProof/>
      </w:rPr>
      <w:drawing>
        <wp:anchor distT="0" distB="0" distL="114300" distR="114300" simplePos="0" relativeHeight="251659264" behindDoc="0" locked="0" layoutInCell="1" allowOverlap="1" wp14:anchorId="7DD4B752" wp14:editId="6489CB5C">
          <wp:simplePos x="0" y="0"/>
          <wp:positionH relativeFrom="margin">
            <wp:posOffset>8890</wp:posOffset>
          </wp:positionH>
          <wp:positionV relativeFrom="margin">
            <wp:posOffset>-444500</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154B6AF5" wp14:editId="0952E703">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Pr="00A20713">
      <w:t>02_SCTF_VM_2021_Apr</w:t>
    </w:r>
  </w:p>
  <w:p w14:paraId="735D5FB6" w14:textId="69155D7F" w:rsidR="000769A2" w:rsidRPr="00A73646" w:rsidRDefault="00593E84" w:rsidP="00A73646">
    <w:pPr>
      <w:pStyle w:val="IPPHeader"/>
      <w:rPr>
        <w:i/>
      </w:rPr>
    </w:pPr>
    <w:r>
      <w:rPr>
        <w:i/>
      </w:rPr>
      <w:t>IC update</w:t>
    </w:r>
    <w:r w:rsidR="00E01E3B">
      <w:rPr>
        <w:i/>
      </w:rPr>
      <w:t>s</w:t>
    </w:r>
    <w:r w:rsidR="00A20713" w:rsidRPr="007E205D">
      <w:rPr>
        <w:i/>
      </w:rPr>
      <w:tab/>
      <w:t xml:space="preserve">Agenda item: </w:t>
    </w:r>
    <w:r w:rsidR="00A20713">
      <w:rPr>
        <w:i/>
      </w:rPr>
      <w:t>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ACD6C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162211C"/>
    <w:lvl w:ilvl="0" w:tplc="52C0EC04">
      <w:start w:val="1"/>
      <w:numFmt w:val="decimal"/>
      <w:lvlText w:val="%1."/>
      <w:lvlJc w:val="left"/>
      <w:pPr>
        <w:tabs>
          <w:tab w:val="num" w:pos="1209"/>
        </w:tabs>
        <w:ind w:left="1209" w:hanging="360"/>
      </w:pPr>
    </w:lvl>
    <w:lvl w:ilvl="1" w:tplc="1A20C3C6">
      <w:numFmt w:val="decimal"/>
      <w:lvlText w:val=""/>
      <w:lvlJc w:val="left"/>
    </w:lvl>
    <w:lvl w:ilvl="2" w:tplc="226E2E1C">
      <w:numFmt w:val="decimal"/>
      <w:lvlText w:val=""/>
      <w:lvlJc w:val="left"/>
    </w:lvl>
    <w:lvl w:ilvl="3" w:tplc="5D1C6F8A">
      <w:numFmt w:val="decimal"/>
      <w:lvlText w:val=""/>
      <w:lvlJc w:val="left"/>
    </w:lvl>
    <w:lvl w:ilvl="4" w:tplc="8FFAD460">
      <w:numFmt w:val="decimal"/>
      <w:lvlText w:val=""/>
      <w:lvlJc w:val="left"/>
    </w:lvl>
    <w:lvl w:ilvl="5" w:tplc="217845B2">
      <w:numFmt w:val="decimal"/>
      <w:lvlText w:val=""/>
      <w:lvlJc w:val="left"/>
    </w:lvl>
    <w:lvl w:ilvl="6" w:tplc="1F2C621C">
      <w:numFmt w:val="decimal"/>
      <w:lvlText w:val=""/>
      <w:lvlJc w:val="left"/>
    </w:lvl>
    <w:lvl w:ilvl="7" w:tplc="2B54B008">
      <w:numFmt w:val="decimal"/>
      <w:lvlText w:val=""/>
      <w:lvlJc w:val="left"/>
    </w:lvl>
    <w:lvl w:ilvl="8" w:tplc="ACE2FE48">
      <w:numFmt w:val="decimal"/>
      <w:lvlText w:val=""/>
      <w:lvlJc w:val="left"/>
    </w:lvl>
  </w:abstractNum>
  <w:abstractNum w:abstractNumId="2" w15:restartNumberingAfterBreak="0">
    <w:nsid w:val="FFFFFF7E"/>
    <w:multiLevelType w:val="hybridMultilevel"/>
    <w:tmpl w:val="131803E0"/>
    <w:lvl w:ilvl="0" w:tplc="8A7E8CBE">
      <w:start w:val="1"/>
      <w:numFmt w:val="decimal"/>
      <w:lvlText w:val="%1."/>
      <w:lvlJc w:val="left"/>
      <w:pPr>
        <w:tabs>
          <w:tab w:val="num" w:pos="926"/>
        </w:tabs>
        <w:ind w:left="926" w:hanging="360"/>
      </w:pPr>
    </w:lvl>
    <w:lvl w:ilvl="1" w:tplc="F092ACAA">
      <w:numFmt w:val="decimal"/>
      <w:lvlText w:val=""/>
      <w:lvlJc w:val="left"/>
    </w:lvl>
    <w:lvl w:ilvl="2" w:tplc="7ADCC52E">
      <w:numFmt w:val="decimal"/>
      <w:lvlText w:val=""/>
      <w:lvlJc w:val="left"/>
    </w:lvl>
    <w:lvl w:ilvl="3" w:tplc="0EF675F2">
      <w:numFmt w:val="decimal"/>
      <w:lvlText w:val=""/>
      <w:lvlJc w:val="left"/>
    </w:lvl>
    <w:lvl w:ilvl="4" w:tplc="242052B4">
      <w:numFmt w:val="decimal"/>
      <w:lvlText w:val=""/>
      <w:lvlJc w:val="left"/>
    </w:lvl>
    <w:lvl w:ilvl="5" w:tplc="4A54FD50">
      <w:numFmt w:val="decimal"/>
      <w:lvlText w:val=""/>
      <w:lvlJc w:val="left"/>
    </w:lvl>
    <w:lvl w:ilvl="6" w:tplc="A008DB22">
      <w:numFmt w:val="decimal"/>
      <w:lvlText w:val=""/>
      <w:lvlJc w:val="left"/>
    </w:lvl>
    <w:lvl w:ilvl="7" w:tplc="38CC64E2">
      <w:numFmt w:val="decimal"/>
      <w:lvlText w:val=""/>
      <w:lvlJc w:val="left"/>
    </w:lvl>
    <w:lvl w:ilvl="8" w:tplc="D040BF08">
      <w:numFmt w:val="decimal"/>
      <w:lvlText w:val=""/>
      <w:lvlJc w:val="left"/>
    </w:lvl>
  </w:abstractNum>
  <w:abstractNum w:abstractNumId="3" w15:restartNumberingAfterBreak="0">
    <w:nsid w:val="FFFFFF7F"/>
    <w:multiLevelType w:val="hybridMultilevel"/>
    <w:tmpl w:val="263ACB54"/>
    <w:lvl w:ilvl="0" w:tplc="478A115E">
      <w:start w:val="1"/>
      <w:numFmt w:val="decimal"/>
      <w:lvlText w:val="%1."/>
      <w:lvlJc w:val="left"/>
      <w:pPr>
        <w:tabs>
          <w:tab w:val="num" w:pos="643"/>
        </w:tabs>
        <w:ind w:left="643" w:hanging="360"/>
      </w:pPr>
    </w:lvl>
    <w:lvl w:ilvl="1" w:tplc="B218E0E8">
      <w:numFmt w:val="decimal"/>
      <w:lvlText w:val=""/>
      <w:lvlJc w:val="left"/>
    </w:lvl>
    <w:lvl w:ilvl="2" w:tplc="E4CE3A82">
      <w:numFmt w:val="decimal"/>
      <w:lvlText w:val=""/>
      <w:lvlJc w:val="left"/>
    </w:lvl>
    <w:lvl w:ilvl="3" w:tplc="20CCACBE">
      <w:numFmt w:val="decimal"/>
      <w:lvlText w:val=""/>
      <w:lvlJc w:val="left"/>
    </w:lvl>
    <w:lvl w:ilvl="4" w:tplc="8C08751A">
      <w:numFmt w:val="decimal"/>
      <w:lvlText w:val=""/>
      <w:lvlJc w:val="left"/>
    </w:lvl>
    <w:lvl w:ilvl="5" w:tplc="EBF223C8">
      <w:numFmt w:val="decimal"/>
      <w:lvlText w:val=""/>
      <w:lvlJc w:val="left"/>
    </w:lvl>
    <w:lvl w:ilvl="6" w:tplc="F0884B86">
      <w:numFmt w:val="decimal"/>
      <w:lvlText w:val=""/>
      <w:lvlJc w:val="left"/>
    </w:lvl>
    <w:lvl w:ilvl="7" w:tplc="AFCA82AC">
      <w:numFmt w:val="decimal"/>
      <w:lvlText w:val=""/>
      <w:lvlJc w:val="left"/>
    </w:lvl>
    <w:lvl w:ilvl="8" w:tplc="5F64F424">
      <w:numFmt w:val="decimal"/>
      <w:lvlText w:val=""/>
      <w:lvlJc w:val="left"/>
    </w:lvl>
  </w:abstractNum>
  <w:abstractNum w:abstractNumId="4" w15:restartNumberingAfterBreak="0">
    <w:nsid w:val="FFFFFF80"/>
    <w:multiLevelType w:val="hybridMultilevel"/>
    <w:tmpl w:val="2F6A3DC8"/>
    <w:lvl w:ilvl="0" w:tplc="5B4E130C">
      <w:start w:val="1"/>
      <w:numFmt w:val="bullet"/>
      <w:lvlText w:val=""/>
      <w:lvlJc w:val="left"/>
      <w:pPr>
        <w:tabs>
          <w:tab w:val="num" w:pos="1492"/>
        </w:tabs>
        <w:ind w:left="1492" w:hanging="360"/>
      </w:pPr>
      <w:rPr>
        <w:rFonts w:ascii="Symbol" w:hAnsi="Symbol" w:hint="default"/>
      </w:rPr>
    </w:lvl>
    <w:lvl w:ilvl="1" w:tplc="36B87868">
      <w:numFmt w:val="decimal"/>
      <w:lvlText w:val=""/>
      <w:lvlJc w:val="left"/>
    </w:lvl>
    <w:lvl w:ilvl="2" w:tplc="A544B15C">
      <w:numFmt w:val="decimal"/>
      <w:lvlText w:val=""/>
      <w:lvlJc w:val="left"/>
    </w:lvl>
    <w:lvl w:ilvl="3" w:tplc="BF164AD8">
      <w:numFmt w:val="decimal"/>
      <w:lvlText w:val=""/>
      <w:lvlJc w:val="left"/>
    </w:lvl>
    <w:lvl w:ilvl="4" w:tplc="B622B4F0">
      <w:numFmt w:val="decimal"/>
      <w:lvlText w:val=""/>
      <w:lvlJc w:val="left"/>
    </w:lvl>
    <w:lvl w:ilvl="5" w:tplc="0700C558">
      <w:numFmt w:val="decimal"/>
      <w:lvlText w:val=""/>
      <w:lvlJc w:val="left"/>
    </w:lvl>
    <w:lvl w:ilvl="6" w:tplc="3FA4CA96">
      <w:numFmt w:val="decimal"/>
      <w:lvlText w:val=""/>
      <w:lvlJc w:val="left"/>
    </w:lvl>
    <w:lvl w:ilvl="7" w:tplc="5922067C">
      <w:numFmt w:val="decimal"/>
      <w:lvlText w:val=""/>
      <w:lvlJc w:val="left"/>
    </w:lvl>
    <w:lvl w:ilvl="8" w:tplc="3C26DB54">
      <w:numFmt w:val="decimal"/>
      <w:lvlText w:val=""/>
      <w:lvlJc w:val="left"/>
    </w:lvl>
  </w:abstractNum>
  <w:abstractNum w:abstractNumId="5" w15:restartNumberingAfterBreak="0">
    <w:nsid w:val="FFFFFF81"/>
    <w:multiLevelType w:val="hybridMultilevel"/>
    <w:tmpl w:val="76A86E18"/>
    <w:lvl w:ilvl="0" w:tplc="3EC2E408">
      <w:start w:val="1"/>
      <w:numFmt w:val="bullet"/>
      <w:lvlText w:val=""/>
      <w:lvlJc w:val="left"/>
      <w:pPr>
        <w:tabs>
          <w:tab w:val="num" w:pos="1209"/>
        </w:tabs>
        <w:ind w:left="1209" w:hanging="360"/>
      </w:pPr>
      <w:rPr>
        <w:rFonts w:ascii="Symbol" w:hAnsi="Symbol" w:hint="default"/>
      </w:rPr>
    </w:lvl>
    <w:lvl w:ilvl="1" w:tplc="8E2470D2">
      <w:numFmt w:val="decimal"/>
      <w:lvlText w:val=""/>
      <w:lvlJc w:val="left"/>
    </w:lvl>
    <w:lvl w:ilvl="2" w:tplc="82742626">
      <w:numFmt w:val="decimal"/>
      <w:lvlText w:val=""/>
      <w:lvlJc w:val="left"/>
    </w:lvl>
    <w:lvl w:ilvl="3" w:tplc="D50A9AE4">
      <w:numFmt w:val="decimal"/>
      <w:lvlText w:val=""/>
      <w:lvlJc w:val="left"/>
    </w:lvl>
    <w:lvl w:ilvl="4" w:tplc="ACF4AE36">
      <w:numFmt w:val="decimal"/>
      <w:lvlText w:val=""/>
      <w:lvlJc w:val="left"/>
    </w:lvl>
    <w:lvl w:ilvl="5" w:tplc="CAC47B7C">
      <w:numFmt w:val="decimal"/>
      <w:lvlText w:val=""/>
      <w:lvlJc w:val="left"/>
    </w:lvl>
    <w:lvl w:ilvl="6" w:tplc="A55645EA">
      <w:numFmt w:val="decimal"/>
      <w:lvlText w:val=""/>
      <w:lvlJc w:val="left"/>
    </w:lvl>
    <w:lvl w:ilvl="7" w:tplc="98FA5356">
      <w:numFmt w:val="decimal"/>
      <w:lvlText w:val=""/>
      <w:lvlJc w:val="left"/>
    </w:lvl>
    <w:lvl w:ilvl="8" w:tplc="7EDA17AC">
      <w:numFmt w:val="decimal"/>
      <w:lvlText w:val=""/>
      <w:lvlJc w:val="left"/>
    </w:lvl>
  </w:abstractNum>
  <w:abstractNum w:abstractNumId="6" w15:restartNumberingAfterBreak="0">
    <w:nsid w:val="FFFFFF82"/>
    <w:multiLevelType w:val="singleLevel"/>
    <w:tmpl w:val="EDDA78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8ED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hybridMultilevel"/>
    <w:tmpl w:val="A278634E"/>
    <w:lvl w:ilvl="0" w:tplc="C7940A9C">
      <w:start w:val="1"/>
      <w:numFmt w:val="decimal"/>
      <w:lvlText w:val="%1."/>
      <w:lvlJc w:val="left"/>
      <w:pPr>
        <w:tabs>
          <w:tab w:val="num" w:pos="360"/>
        </w:tabs>
        <w:ind w:left="360" w:hanging="360"/>
      </w:pPr>
    </w:lvl>
    <w:lvl w:ilvl="1" w:tplc="70248EA2">
      <w:numFmt w:val="decimal"/>
      <w:lvlText w:val=""/>
      <w:lvlJc w:val="left"/>
    </w:lvl>
    <w:lvl w:ilvl="2" w:tplc="5D1A4A4A">
      <w:numFmt w:val="decimal"/>
      <w:lvlText w:val=""/>
      <w:lvlJc w:val="left"/>
    </w:lvl>
    <w:lvl w:ilvl="3" w:tplc="610A50B2">
      <w:numFmt w:val="decimal"/>
      <w:lvlText w:val=""/>
      <w:lvlJc w:val="left"/>
    </w:lvl>
    <w:lvl w:ilvl="4" w:tplc="1CBEEE22">
      <w:numFmt w:val="decimal"/>
      <w:lvlText w:val=""/>
      <w:lvlJc w:val="left"/>
    </w:lvl>
    <w:lvl w:ilvl="5" w:tplc="43FC658A">
      <w:numFmt w:val="decimal"/>
      <w:lvlText w:val=""/>
      <w:lvlJc w:val="left"/>
    </w:lvl>
    <w:lvl w:ilvl="6" w:tplc="E19CA6DE">
      <w:numFmt w:val="decimal"/>
      <w:lvlText w:val=""/>
      <w:lvlJc w:val="left"/>
    </w:lvl>
    <w:lvl w:ilvl="7" w:tplc="3EC4435C">
      <w:numFmt w:val="decimal"/>
      <w:lvlText w:val=""/>
      <w:lvlJc w:val="left"/>
    </w:lvl>
    <w:lvl w:ilvl="8" w:tplc="82C0745E">
      <w:numFmt w:val="decimal"/>
      <w:lvlText w:val=""/>
      <w:lvlJc w:val="left"/>
    </w:lvl>
  </w:abstractNum>
  <w:abstractNum w:abstractNumId="9" w15:restartNumberingAfterBreak="0">
    <w:nsid w:val="FFFFFF89"/>
    <w:multiLevelType w:val="hybridMultilevel"/>
    <w:tmpl w:val="EB66500E"/>
    <w:lvl w:ilvl="0" w:tplc="9B385478">
      <w:start w:val="1"/>
      <w:numFmt w:val="bullet"/>
      <w:lvlText w:val=""/>
      <w:lvlJc w:val="left"/>
      <w:pPr>
        <w:tabs>
          <w:tab w:val="num" w:pos="360"/>
        </w:tabs>
        <w:ind w:left="360" w:hanging="360"/>
      </w:pPr>
      <w:rPr>
        <w:rFonts w:ascii="Symbol" w:hAnsi="Symbol" w:hint="default"/>
      </w:rPr>
    </w:lvl>
    <w:lvl w:ilvl="1" w:tplc="0B1C7348">
      <w:numFmt w:val="decimal"/>
      <w:lvlText w:val=""/>
      <w:lvlJc w:val="left"/>
    </w:lvl>
    <w:lvl w:ilvl="2" w:tplc="16BA4158">
      <w:numFmt w:val="decimal"/>
      <w:lvlText w:val=""/>
      <w:lvlJc w:val="left"/>
    </w:lvl>
    <w:lvl w:ilvl="3" w:tplc="2A463D70">
      <w:numFmt w:val="decimal"/>
      <w:lvlText w:val=""/>
      <w:lvlJc w:val="left"/>
    </w:lvl>
    <w:lvl w:ilvl="4" w:tplc="4A5E7338">
      <w:numFmt w:val="decimal"/>
      <w:lvlText w:val=""/>
      <w:lvlJc w:val="left"/>
    </w:lvl>
    <w:lvl w:ilvl="5" w:tplc="B274BB5C">
      <w:numFmt w:val="decimal"/>
      <w:lvlText w:val=""/>
      <w:lvlJc w:val="left"/>
    </w:lvl>
    <w:lvl w:ilvl="6" w:tplc="3E86EA4E">
      <w:numFmt w:val="decimal"/>
      <w:lvlText w:val=""/>
      <w:lvlJc w:val="left"/>
    </w:lvl>
    <w:lvl w:ilvl="7" w:tplc="62EC4CF6">
      <w:numFmt w:val="decimal"/>
      <w:lvlText w:val=""/>
      <w:lvlJc w:val="left"/>
    </w:lvl>
    <w:lvl w:ilvl="8" w:tplc="100258A4">
      <w:numFmt w:val="decimal"/>
      <w:lvlText w:val=""/>
      <w:lvlJc w:val="left"/>
    </w:lvl>
  </w:abstractNum>
  <w:abstractNum w:abstractNumId="10" w15:restartNumberingAfterBreak="0">
    <w:nsid w:val="006A1219"/>
    <w:multiLevelType w:val="multilevel"/>
    <w:tmpl w:val="1264F8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BFF6122"/>
    <w:multiLevelType w:val="multilevel"/>
    <w:tmpl w:val="5E50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26606"/>
    <w:multiLevelType w:val="hybridMultilevel"/>
    <w:tmpl w:val="979CBBDA"/>
    <w:lvl w:ilvl="0" w:tplc="2B5CC8D8">
      <w:start w:val="1"/>
      <w:numFmt w:val="decimal"/>
      <w:lvlText w:val="%1."/>
      <w:lvlJc w:val="left"/>
      <w:pPr>
        <w:tabs>
          <w:tab w:val="num" w:pos="720"/>
        </w:tabs>
        <w:ind w:left="720" w:hanging="360"/>
      </w:pPr>
    </w:lvl>
    <w:lvl w:ilvl="1" w:tplc="AC8613B6" w:tentative="1">
      <w:start w:val="1"/>
      <w:numFmt w:val="decimal"/>
      <w:lvlText w:val="%2."/>
      <w:lvlJc w:val="left"/>
      <w:pPr>
        <w:tabs>
          <w:tab w:val="num" w:pos="1440"/>
        </w:tabs>
        <w:ind w:left="1440" w:hanging="360"/>
      </w:pPr>
    </w:lvl>
    <w:lvl w:ilvl="2" w:tplc="6C601A7A" w:tentative="1">
      <w:start w:val="1"/>
      <w:numFmt w:val="decimal"/>
      <w:lvlText w:val="%3."/>
      <w:lvlJc w:val="left"/>
      <w:pPr>
        <w:tabs>
          <w:tab w:val="num" w:pos="2160"/>
        </w:tabs>
        <w:ind w:left="2160" w:hanging="360"/>
      </w:pPr>
    </w:lvl>
    <w:lvl w:ilvl="3" w:tplc="24CE7DB6" w:tentative="1">
      <w:start w:val="1"/>
      <w:numFmt w:val="decimal"/>
      <w:lvlText w:val="%4."/>
      <w:lvlJc w:val="left"/>
      <w:pPr>
        <w:tabs>
          <w:tab w:val="num" w:pos="2880"/>
        </w:tabs>
        <w:ind w:left="2880" w:hanging="360"/>
      </w:pPr>
    </w:lvl>
    <w:lvl w:ilvl="4" w:tplc="3DFEA646" w:tentative="1">
      <w:start w:val="1"/>
      <w:numFmt w:val="decimal"/>
      <w:lvlText w:val="%5."/>
      <w:lvlJc w:val="left"/>
      <w:pPr>
        <w:tabs>
          <w:tab w:val="num" w:pos="3600"/>
        </w:tabs>
        <w:ind w:left="3600" w:hanging="360"/>
      </w:pPr>
    </w:lvl>
    <w:lvl w:ilvl="5" w:tplc="460A7A3C" w:tentative="1">
      <w:start w:val="1"/>
      <w:numFmt w:val="decimal"/>
      <w:lvlText w:val="%6."/>
      <w:lvlJc w:val="left"/>
      <w:pPr>
        <w:tabs>
          <w:tab w:val="num" w:pos="4320"/>
        </w:tabs>
        <w:ind w:left="4320" w:hanging="360"/>
      </w:pPr>
    </w:lvl>
    <w:lvl w:ilvl="6" w:tplc="DF30F17A" w:tentative="1">
      <w:start w:val="1"/>
      <w:numFmt w:val="decimal"/>
      <w:lvlText w:val="%7."/>
      <w:lvlJc w:val="left"/>
      <w:pPr>
        <w:tabs>
          <w:tab w:val="num" w:pos="5040"/>
        </w:tabs>
        <w:ind w:left="5040" w:hanging="360"/>
      </w:pPr>
    </w:lvl>
    <w:lvl w:ilvl="7" w:tplc="8C0E9AB2" w:tentative="1">
      <w:start w:val="1"/>
      <w:numFmt w:val="decimal"/>
      <w:lvlText w:val="%8."/>
      <w:lvlJc w:val="left"/>
      <w:pPr>
        <w:tabs>
          <w:tab w:val="num" w:pos="5760"/>
        </w:tabs>
        <w:ind w:left="5760" w:hanging="360"/>
      </w:pPr>
    </w:lvl>
    <w:lvl w:ilvl="8" w:tplc="4EE07C32" w:tentative="1">
      <w:start w:val="1"/>
      <w:numFmt w:val="decimal"/>
      <w:lvlText w:val="%9."/>
      <w:lvlJc w:val="left"/>
      <w:pPr>
        <w:tabs>
          <w:tab w:val="num" w:pos="6480"/>
        </w:tabs>
        <w:ind w:left="6480" w:hanging="360"/>
      </w:pPr>
    </w:lvl>
  </w:abstractNum>
  <w:abstractNum w:abstractNumId="16" w15:restartNumberingAfterBreak="0">
    <w:nsid w:val="19F21FFC"/>
    <w:multiLevelType w:val="multilevel"/>
    <w:tmpl w:val="96FCB0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1C5026"/>
    <w:multiLevelType w:val="multilevel"/>
    <w:tmpl w:val="FF1A19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1D157307"/>
    <w:multiLevelType w:val="hybridMultilevel"/>
    <w:tmpl w:val="2E062946"/>
    <w:lvl w:ilvl="0" w:tplc="C1C2A830">
      <w:start w:val="1"/>
      <w:numFmt w:val="bullet"/>
      <w:lvlText w:val="‐"/>
      <w:lvlJc w:val="left"/>
      <w:pPr>
        <w:ind w:left="360" w:hanging="360"/>
      </w:pPr>
      <w:rPr>
        <w:rFonts w:ascii="Calibri"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F57712D"/>
    <w:multiLevelType w:val="hybridMultilevel"/>
    <w:tmpl w:val="3CE44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C5519D"/>
    <w:multiLevelType w:val="multilevel"/>
    <w:tmpl w:val="7578E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23" w15:restartNumberingAfterBreak="0">
    <w:nsid w:val="308C2A69"/>
    <w:multiLevelType w:val="multilevel"/>
    <w:tmpl w:val="5F2A40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36CB42C0"/>
    <w:multiLevelType w:val="hybridMultilevel"/>
    <w:tmpl w:val="0F4069B4"/>
    <w:lvl w:ilvl="0" w:tplc="987C5104">
      <w:start w:val="1"/>
      <w:numFmt w:val="bullet"/>
      <w:lvlText w:val="•"/>
      <w:lvlJc w:val="left"/>
      <w:pPr>
        <w:tabs>
          <w:tab w:val="num" w:pos="720"/>
        </w:tabs>
        <w:ind w:left="720" w:hanging="360"/>
      </w:pPr>
      <w:rPr>
        <w:rFonts w:ascii="Arial" w:hAnsi="Arial" w:hint="default"/>
      </w:rPr>
    </w:lvl>
    <w:lvl w:ilvl="1" w:tplc="9E48A32C">
      <w:start w:val="1"/>
      <w:numFmt w:val="bullet"/>
      <w:lvlText w:val="•"/>
      <w:lvlJc w:val="left"/>
      <w:pPr>
        <w:tabs>
          <w:tab w:val="num" w:pos="1440"/>
        </w:tabs>
        <w:ind w:left="1440" w:hanging="360"/>
      </w:pPr>
      <w:rPr>
        <w:rFonts w:ascii="Arial" w:hAnsi="Arial" w:hint="default"/>
      </w:rPr>
    </w:lvl>
    <w:lvl w:ilvl="2" w:tplc="664AA510" w:tentative="1">
      <w:start w:val="1"/>
      <w:numFmt w:val="bullet"/>
      <w:lvlText w:val="•"/>
      <w:lvlJc w:val="left"/>
      <w:pPr>
        <w:tabs>
          <w:tab w:val="num" w:pos="2160"/>
        </w:tabs>
        <w:ind w:left="2160" w:hanging="360"/>
      </w:pPr>
      <w:rPr>
        <w:rFonts w:ascii="Arial" w:hAnsi="Arial" w:hint="default"/>
      </w:rPr>
    </w:lvl>
    <w:lvl w:ilvl="3" w:tplc="F572AC4E" w:tentative="1">
      <w:start w:val="1"/>
      <w:numFmt w:val="bullet"/>
      <w:lvlText w:val="•"/>
      <w:lvlJc w:val="left"/>
      <w:pPr>
        <w:tabs>
          <w:tab w:val="num" w:pos="2880"/>
        </w:tabs>
        <w:ind w:left="2880" w:hanging="360"/>
      </w:pPr>
      <w:rPr>
        <w:rFonts w:ascii="Arial" w:hAnsi="Arial" w:hint="default"/>
      </w:rPr>
    </w:lvl>
    <w:lvl w:ilvl="4" w:tplc="E04C44C8" w:tentative="1">
      <w:start w:val="1"/>
      <w:numFmt w:val="bullet"/>
      <w:lvlText w:val="•"/>
      <w:lvlJc w:val="left"/>
      <w:pPr>
        <w:tabs>
          <w:tab w:val="num" w:pos="3600"/>
        </w:tabs>
        <w:ind w:left="3600" w:hanging="360"/>
      </w:pPr>
      <w:rPr>
        <w:rFonts w:ascii="Arial" w:hAnsi="Arial" w:hint="default"/>
      </w:rPr>
    </w:lvl>
    <w:lvl w:ilvl="5" w:tplc="13D2BF40" w:tentative="1">
      <w:start w:val="1"/>
      <w:numFmt w:val="bullet"/>
      <w:lvlText w:val="•"/>
      <w:lvlJc w:val="left"/>
      <w:pPr>
        <w:tabs>
          <w:tab w:val="num" w:pos="4320"/>
        </w:tabs>
        <w:ind w:left="4320" w:hanging="360"/>
      </w:pPr>
      <w:rPr>
        <w:rFonts w:ascii="Arial" w:hAnsi="Arial" w:hint="default"/>
      </w:rPr>
    </w:lvl>
    <w:lvl w:ilvl="6" w:tplc="9D541AEC" w:tentative="1">
      <w:start w:val="1"/>
      <w:numFmt w:val="bullet"/>
      <w:lvlText w:val="•"/>
      <w:lvlJc w:val="left"/>
      <w:pPr>
        <w:tabs>
          <w:tab w:val="num" w:pos="5040"/>
        </w:tabs>
        <w:ind w:left="5040" w:hanging="360"/>
      </w:pPr>
      <w:rPr>
        <w:rFonts w:ascii="Arial" w:hAnsi="Arial" w:hint="default"/>
      </w:rPr>
    </w:lvl>
    <w:lvl w:ilvl="7" w:tplc="4A809DF4" w:tentative="1">
      <w:start w:val="1"/>
      <w:numFmt w:val="bullet"/>
      <w:lvlText w:val="•"/>
      <w:lvlJc w:val="left"/>
      <w:pPr>
        <w:tabs>
          <w:tab w:val="num" w:pos="5760"/>
        </w:tabs>
        <w:ind w:left="5760" w:hanging="360"/>
      </w:pPr>
      <w:rPr>
        <w:rFonts w:ascii="Arial" w:hAnsi="Arial" w:hint="default"/>
      </w:rPr>
    </w:lvl>
    <w:lvl w:ilvl="8" w:tplc="39389D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127FB3"/>
    <w:multiLevelType w:val="hybridMultilevel"/>
    <w:tmpl w:val="726E55A4"/>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D9662AA"/>
    <w:multiLevelType w:val="hybridMultilevel"/>
    <w:tmpl w:val="2424ED6C"/>
    <w:lvl w:ilvl="0" w:tplc="FFFFFFFF">
      <w:start w:val="1"/>
      <w:numFmt w:val="decimal"/>
      <w:lvlText w:val="%1."/>
      <w:lvlJc w:val="left"/>
      <w:pPr>
        <w:ind w:left="720" w:hanging="360"/>
      </w:pPr>
    </w:lvl>
    <w:lvl w:ilvl="1" w:tplc="0809000F">
      <w:start w:val="1"/>
      <w:numFmt w:val="decimal"/>
      <w:lvlText w:val="%2."/>
      <w:lvlJc w:val="left"/>
      <w:pPr>
        <w:ind w:left="1440" w:hanging="360"/>
      </w:pPr>
      <w:rPr>
        <w:rFonts w:hint="default"/>
      </w:rPr>
    </w:lvl>
    <w:lvl w:ilvl="2" w:tplc="D6260664">
      <w:start w:val="1"/>
      <w:numFmt w:val="decimal"/>
      <w:lvlText w:val="%3)"/>
      <w:lvlJc w:val="left"/>
      <w:pPr>
        <w:ind w:left="2160" w:hanging="360"/>
      </w:pPr>
      <w:rPr>
        <w:rFonts w:ascii="Times New Roman"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9270B"/>
    <w:multiLevelType w:val="hybridMultilevel"/>
    <w:tmpl w:val="11BCA778"/>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B1C35E6"/>
    <w:multiLevelType w:val="hybridMultilevel"/>
    <w:tmpl w:val="C88C27C2"/>
    <w:lvl w:ilvl="0" w:tplc="B6485F5A">
      <w:start w:val="1"/>
      <w:numFmt w:val="decimal"/>
      <w:lvlText w:val="%1)"/>
      <w:lvlJc w:val="left"/>
      <w:pPr>
        <w:ind w:left="1800" w:hanging="360"/>
      </w:pPr>
      <w:rPr>
        <w:rFonts w:ascii="Times New Roman" w:hAnsi="Times New Roman" w:cs="Times New Roman" w:hint="default"/>
        <w:i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4E3913C2"/>
    <w:multiLevelType w:val="multilevel"/>
    <w:tmpl w:val="5322CD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6B300C"/>
    <w:multiLevelType w:val="multilevel"/>
    <w:tmpl w:val="0D6C4876"/>
    <w:numStyleLink w:val="WesternSequentialList"/>
  </w:abstractNum>
  <w:abstractNum w:abstractNumId="34" w15:restartNumberingAfterBreak="0">
    <w:nsid w:val="4E902534"/>
    <w:multiLevelType w:val="multilevel"/>
    <w:tmpl w:val="050AB20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B21F0A"/>
    <w:multiLevelType w:val="hybridMultilevel"/>
    <w:tmpl w:val="10A27652"/>
    <w:lvl w:ilvl="0" w:tplc="987C5104">
      <w:start w:val="1"/>
      <w:numFmt w:val="bullet"/>
      <w:lvlText w:val="•"/>
      <w:lvlJc w:val="left"/>
      <w:pPr>
        <w:tabs>
          <w:tab w:val="num" w:pos="720"/>
        </w:tabs>
        <w:ind w:left="720" w:hanging="360"/>
      </w:pPr>
      <w:rPr>
        <w:rFonts w:ascii="Arial" w:hAnsi="Arial" w:hint="default"/>
      </w:rPr>
    </w:lvl>
    <w:lvl w:ilvl="1" w:tplc="C1C2A830">
      <w:start w:val="1"/>
      <w:numFmt w:val="bullet"/>
      <w:lvlText w:val="‐"/>
      <w:lvlJc w:val="left"/>
      <w:pPr>
        <w:tabs>
          <w:tab w:val="num" w:pos="1440"/>
        </w:tabs>
        <w:ind w:left="1440" w:hanging="360"/>
      </w:pPr>
      <w:rPr>
        <w:rFonts w:ascii="Calibri" w:hAnsi="Calibri" w:hint="default"/>
      </w:rPr>
    </w:lvl>
    <w:lvl w:ilvl="2" w:tplc="664AA510" w:tentative="1">
      <w:start w:val="1"/>
      <w:numFmt w:val="bullet"/>
      <w:lvlText w:val="•"/>
      <w:lvlJc w:val="left"/>
      <w:pPr>
        <w:tabs>
          <w:tab w:val="num" w:pos="2160"/>
        </w:tabs>
        <w:ind w:left="2160" w:hanging="360"/>
      </w:pPr>
      <w:rPr>
        <w:rFonts w:ascii="Arial" w:hAnsi="Arial" w:hint="default"/>
      </w:rPr>
    </w:lvl>
    <w:lvl w:ilvl="3" w:tplc="F572AC4E" w:tentative="1">
      <w:start w:val="1"/>
      <w:numFmt w:val="bullet"/>
      <w:lvlText w:val="•"/>
      <w:lvlJc w:val="left"/>
      <w:pPr>
        <w:tabs>
          <w:tab w:val="num" w:pos="2880"/>
        </w:tabs>
        <w:ind w:left="2880" w:hanging="360"/>
      </w:pPr>
      <w:rPr>
        <w:rFonts w:ascii="Arial" w:hAnsi="Arial" w:hint="default"/>
      </w:rPr>
    </w:lvl>
    <w:lvl w:ilvl="4" w:tplc="E04C44C8" w:tentative="1">
      <w:start w:val="1"/>
      <w:numFmt w:val="bullet"/>
      <w:lvlText w:val="•"/>
      <w:lvlJc w:val="left"/>
      <w:pPr>
        <w:tabs>
          <w:tab w:val="num" w:pos="3600"/>
        </w:tabs>
        <w:ind w:left="3600" w:hanging="360"/>
      </w:pPr>
      <w:rPr>
        <w:rFonts w:ascii="Arial" w:hAnsi="Arial" w:hint="default"/>
      </w:rPr>
    </w:lvl>
    <w:lvl w:ilvl="5" w:tplc="13D2BF40" w:tentative="1">
      <w:start w:val="1"/>
      <w:numFmt w:val="bullet"/>
      <w:lvlText w:val="•"/>
      <w:lvlJc w:val="left"/>
      <w:pPr>
        <w:tabs>
          <w:tab w:val="num" w:pos="4320"/>
        </w:tabs>
        <w:ind w:left="4320" w:hanging="360"/>
      </w:pPr>
      <w:rPr>
        <w:rFonts w:ascii="Arial" w:hAnsi="Arial" w:hint="default"/>
      </w:rPr>
    </w:lvl>
    <w:lvl w:ilvl="6" w:tplc="9D541AEC" w:tentative="1">
      <w:start w:val="1"/>
      <w:numFmt w:val="bullet"/>
      <w:lvlText w:val="•"/>
      <w:lvlJc w:val="left"/>
      <w:pPr>
        <w:tabs>
          <w:tab w:val="num" w:pos="5040"/>
        </w:tabs>
        <w:ind w:left="5040" w:hanging="360"/>
      </w:pPr>
      <w:rPr>
        <w:rFonts w:ascii="Arial" w:hAnsi="Arial" w:hint="default"/>
      </w:rPr>
    </w:lvl>
    <w:lvl w:ilvl="7" w:tplc="4A809DF4" w:tentative="1">
      <w:start w:val="1"/>
      <w:numFmt w:val="bullet"/>
      <w:lvlText w:val="•"/>
      <w:lvlJc w:val="left"/>
      <w:pPr>
        <w:tabs>
          <w:tab w:val="num" w:pos="5760"/>
        </w:tabs>
        <w:ind w:left="5760" w:hanging="360"/>
      </w:pPr>
      <w:rPr>
        <w:rFonts w:ascii="Arial" w:hAnsi="Arial" w:hint="default"/>
      </w:rPr>
    </w:lvl>
    <w:lvl w:ilvl="8" w:tplc="39389D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187374"/>
    <w:multiLevelType w:val="hybridMultilevel"/>
    <w:tmpl w:val="0CF21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54354E6E"/>
    <w:multiLevelType w:val="multilevel"/>
    <w:tmpl w:val="4FF4C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5321ED3"/>
    <w:multiLevelType w:val="multilevel"/>
    <w:tmpl w:val="5E0AF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7273DF9"/>
    <w:multiLevelType w:val="multilevel"/>
    <w:tmpl w:val="539E5F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DA019E0"/>
    <w:multiLevelType w:val="multilevel"/>
    <w:tmpl w:val="CC50A18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F3A7916"/>
    <w:multiLevelType w:val="multilevel"/>
    <w:tmpl w:val="37FAD7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FFA4880"/>
    <w:multiLevelType w:val="multilevel"/>
    <w:tmpl w:val="C2364B64"/>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4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BC0300"/>
    <w:multiLevelType w:val="hybridMultilevel"/>
    <w:tmpl w:val="0409001D"/>
    <w:lvl w:ilvl="0" w:tplc="A78C23D4">
      <w:start w:val="1"/>
      <w:numFmt w:val="decimal"/>
      <w:lvlText w:val="%1)"/>
      <w:lvlJc w:val="left"/>
      <w:pPr>
        <w:ind w:left="-280" w:hanging="360"/>
      </w:pPr>
    </w:lvl>
    <w:lvl w:ilvl="1" w:tplc="C4D01332">
      <w:start w:val="1"/>
      <w:numFmt w:val="lowerLetter"/>
      <w:lvlText w:val="%2)"/>
      <w:lvlJc w:val="left"/>
      <w:pPr>
        <w:ind w:left="80" w:hanging="360"/>
      </w:pPr>
    </w:lvl>
    <w:lvl w:ilvl="2" w:tplc="C040E2BC">
      <w:start w:val="1"/>
      <w:numFmt w:val="lowerRoman"/>
      <w:lvlText w:val="%3)"/>
      <w:lvlJc w:val="left"/>
      <w:pPr>
        <w:ind w:left="440" w:hanging="360"/>
      </w:pPr>
    </w:lvl>
    <w:lvl w:ilvl="3" w:tplc="F59E730A">
      <w:start w:val="1"/>
      <w:numFmt w:val="decimal"/>
      <w:lvlText w:val="(%4)"/>
      <w:lvlJc w:val="left"/>
      <w:pPr>
        <w:ind w:left="800" w:hanging="360"/>
      </w:pPr>
    </w:lvl>
    <w:lvl w:ilvl="4" w:tplc="E550D564">
      <w:start w:val="1"/>
      <w:numFmt w:val="lowerLetter"/>
      <w:lvlText w:val="(%5)"/>
      <w:lvlJc w:val="left"/>
      <w:pPr>
        <w:ind w:left="1160" w:hanging="360"/>
      </w:pPr>
    </w:lvl>
    <w:lvl w:ilvl="5" w:tplc="FE3E3896">
      <w:start w:val="1"/>
      <w:numFmt w:val="lowerRoman"/>
      <w:lvlText w:val="(%6)"/>
      <w:lvlJc w:val="left"/>
      <w:pPr>
        <w:ind w:left="1520" w:hanging="360"/>
      </w:pPr>
    </w:lvl>
    <w:lvl w:ilvl="6" w:tplc="1B1A226C">
      <w:start w:val="1"/>
      <w:numFmt w:val="decimal"/>
      <w:lvlText w:val="%7."/>
      <w:lvlJc w:val="left"/>
      <w:pPr>
        <w:ind w:left="1880" w:hanging="360"/>
      </w:pPr>
    </w:lvl>
    <w:lvl w:ilvl="7" w:tplc="09FA2AB6">
      <w:start w:val="1"/>
      <w:numFmt w:val="lowerLetter"/>
      <w:lvlText w:val="%8."/>
      <w:lvlJc w:val="left"/>
      <w:pPr>
        <w:ind w:left="2240" w:hanging="360"/>
      </w:pPr>
    </w:lvl>
    <w:lvl w:ilvl="8" w:tplc="DEE6C62A">
      <w:start w:val="1"/>
      <w:numFmt w:val="lowerRoman"/>
      <w:lvlText w:val="%9."/>
      <w:lvlJc w:val="left"/>
      <w:pPr>
        <w:ind w:left="2600" w:hanging="360"/>
      </w:pPr>
    </w:lvl>
  </w:abstractNum>
  <w:abstractNum w:abstractNumId="46" w15:restartNumberingAfterBreak="0">
    <w:nsid w:val="67225492"/>
    <w:multiLevelType w:val="hybridMultilevel"/>
    <w:tmpl w:val="6A62CF02"/>
    <w:lvl w:ilvl="0" w:tplc="04090011">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617B1"/>
    <w:multiLevelType w:val="hybridMultilevel"/>
    <w:tmpl w:val="2A068632"/>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1F075A"/>
    <w:multiLevelType w:val="hybridMultilevel"/>
    <w:tmpl w:val="5A866136"/>
    <w:lvl w:ilvl="0" w:tplc="C1C2A830">
      <w:start w:val="1"/>
      <w:numFmt w:val="bullet"/>
      <w:lvlText w:val="‐"/>
      <w:lvlJc w:val="left"/>
      <w:pPr>
        <w:ind w:left="927" w:hanging="360"/>
      </w:pPr>
      <w:rPr>
        <w:rFonts w:ascii="Calibri" w:hAnsi="Calibri"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477109"/>
    <w:multiLevelType w:val="hybridMultilevel"/>
    <w:tmpl w:val="59741750"/>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7D1835"/>
    <w:multiLevelType w:val="hybridMultilevel"/>
    <w:tmpl w:val="D83C1BAE"/>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04195E"/>
    <w:multiLevelType w:val="hybridMultilevel"/>
    <w:tmpl w:val="71867F1C"/>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275131"/>
    <w:multiLevelType w:val="hybridMultilevel"/>
    <w:tmpl w:val="8E7EEFE4"/>
    <w:lvl w:ilvl="0" w:tplc="AF9693D0">
      <w:start w:val="1"/>
      <w:numFmt w:val="decimal"/>
      <w:lvlText w:val="%1)"/>
      <w:lvlJc w:val="left"/>
      <w:pPr>
        <w:ind w:left="1800" w:hanging="360"/>
      </w:pPr>
      <w:rPr>
        <w:i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B95651"/>
    <w:multiLevelType w:val="multilevel"/>
    <w:tmpl w:val="795E92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B501000"/>
    <w:multiLevelType w:val="hybridMultilevel"/>
    <w:tmpl w:val="05CA8B50"/>
    <w:lvl w:ilvl="0" w:tplc="FB32555C">
      <w:start w:val="11"/>
      <w:numFmt w:val="bullet"/>
      <w:lvlText w:val="-"/>
      <w:lvlJc w:val="left"/>
      <w:pPr>
        <w:ind w:left="720" w:hanging="360"/>
      </w:pPr>
      <w:rPr>
        <w:rFonts w:ascii="Calibri" w:eastAsia="Times"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D1D0B11"/>
    <w:multiLevelType w:val="hybridMultilevel"/>
    <w:tmpl w:val="56AA4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E7939DD"/>
    <w:multiLevelType w:val="hybridMultilevel"/>
    <w:tmpl w:val="4A7ABF9A"/>
    <w:lvl w:ilvl="0" w:tplc="FFFFFFFF">
      <w:start w:val="1"/>
      <w:numFmt w:val="decimal"/>
      <w:lvlText w:val="%1."/>
      <w:lvlJc w:val="left"/>
      <w:pPr>
        <w:ind w:left="720" w:hanging="360"/>
      </w:pPr>
    </w:lvl>
    <w:lvl w:ilvl="1" w:tplc="0809000F">
      <w:start w:val="1"/>
      <w:numFmt w:val="decimal"/>
      <w:lvlText w:val="%2."/>
      <w:lvlJc w:val="left"/>
      <w:pPr>
        <w:ind w:left="1440" w:hanging="360"/>
      </w:pPr>
      <w:rPr>
        <w:rFonts w:hint="default"/>
      </w:rPr>
    </w:lvl>
    <w:lvl w:ilvl="2" w:tplc="FFFFFFF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24"/>
  </w:num>
  <w:num w:numId="3">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51"/>
  </w:num>
  <w:num w:numId="16">
    <w:abstractNumId w:val="54"/>
  </w:num>
  <w:num w:numId="17">
    <w:abstractNumId w:val="49"/>
  </w:num>
  <w:num w:numId="18">
    <w:abstractNumId w:val="26"/>
  </w:num>
  <w:num w:numId="19">
    <w:abstractNumId w:val="21"/>
  </w:num>
  <w:num w:numId="20">
    <w:abstractNumId w:val="29"/>
  </w:num>
  <w:num w:numId="21">
    <w:abstractNumId w:val="48"/>
  </w:num>
  <w:num w:numId="22">
    <w:abstractNumId w:val="58"/>
  </w:num>
  <w:num w:numId="23">
    <w:abstractNumId w:val="53"/>
  </w:num>
  <w:num w:numId="24">
    <w:abstractNumId w:val="31"/>
  </w:num>
  <w:num w:numId="25">
    <w:abstractNumId w:val="46"/>
  </w:num>
  <w:num w:numId="26">
    <w:abstractNumId w:val="56"/>
  </w:num>
  <w:num w:numId="27">
    <w:abstractNumId w:val="28"/>
  </w:num>
  <w:num w:numId="28">
    <w:abstractNumId w:val="52"/>
  </w:num>
  <w:num w:numId="29">
    <w:abstractNumId w:val="19"/>
  </w:num>
  <w:num w:numId="30">
    <w:abstractNumId w:val="47"/>
  </w:num>
  <w:num w:numId="31">
    <w:abstractNumId w:val="15"/>
  </w:num>
  <w:num w:numId="32">
    <w:abstractNumId w:val="25"/>
  </w:num>
  <w:num w:numId="33">
    <w:abstractNumId w:val="35"/>
  </w:num>
  <w:num w:numId="34">
    <w:abstractNumId w:val="50"/>
  </w:num>
  <w:num w:numId="35">
    <w:abstractNumId w:val="57"/>
  </w:num>
  <w:num w:numId="36">
    <w:abstractNumId w:val="20"/>
  </w:num>
  <w:num w:numId="37">
    <w:abstractNumId w:val="39"/>
  </w:num>
  <w:num w:numId="38">
    <w:abstractNumId w:val="40"/>
  </w:num>
  <w:num w:numId="39">
    <w:abstractNumId w:val="32"/>
  </w:num>
  <w:num w:numId="40">
    <w:abstractNumId w:val="42"/>
  </w:num>
  <w:num w:numId="41">
    <w:abstractNumId w:val="55"/>
  </w:num>
  <w:num w:numId="42">
    <w:abstractNumId w:val="17"/>
  </w:num>
  <w:num w:numId="43">
    <w:abstractNumId w:val="23"/>
  </w:num>
  <w:num w:numId="44">
    <w:abstractNumId w:val="10"/>
  </w:num>
  <w:num w:numId="45">
    <w:abstractNumId w:val="34"/>
  </w:num>
  <w:num w:numId="46">
    <w:abstractNumId w:val="16"/>
  </w:num>
  <w:num w:numId="47">
    <w:abstractNumId w:val="41"/>
  </w:num>
  <w:num w:numId="48">
    <w:abstractNumId w:val="14"/>
  </w:num>
  <w:num w:numId="49">
    <w:abstractNumId w:val="38"/>
  </w:num>
  <w:num w:numId="50">
    <w:abstractNumId w:val="44"/>
  </w:num>
  <w:num w:numId="51">
    <w:abstractNumId w:val="13"/>
  </w:num>
  <w:num w:numId="52">
    <w:abstractNumId w:val="12"/>
  </w:num>
  <w:num w:numId="53">
    <w:abstractNumId w:val="37"/>
  </w:num>
  <w:num w:numId="54">
    <w:abstractNumId w:val="27"/>
  </w:num>
  <w:num w:numId="55">
    <w:abstractNumId w:val="59"/>
  </w:num>
  <w:num w:numId="56">
    <w:abstractNumId w:val="18"/>
  </w:num>
  <w:num w:numId="57">
    <w:abstractNumId w:val="11"/>
  </w:num>
  <w:num w:numId="58">
    <w:abstractNumId w:val="30"/>
  </w:num>
  <w:num w:numId="59">
    <w:abstractNumId w:val="43"/>
  </w:num>
  <w:num w:numId="60">
    <w:abstractNumId w:val="33"/>
  </w:num>
  <w:num w:numId="61">
    <w:abstractNumId w:val="22"/>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NzMwNbMwMrM0N7RQ0lEKTi0uzszPAykwqgUAJ7C5gywAAAA="/>
  </w:docVars>
  <w:rsids>
    <w:rsidRoot w:val="000A7828"/>
    <w:rsid w:val="00006ABA"/>
    <w:rsid w:val="00006E02"/>
    <w:rsid w:val="00026143"/>
    <w:rsid w:val="0003115F"/>
    <w:rsid w:val="000436F4"/>
    <w:rsid w:val="000462DA"/>
    <w:rsid w:val="00046BF2"/>
    <w:rsid w:val="00057334"/>
    <w:rsid w:val="00057C8F"/>
    <w:rsid w:val="000642D4"/>
    <w:rsid w:val="00065079"/>
    <w:rsid w:val="00073158"/>
    <w:rsid w:val="00074684"/>
    <w:rsid w:val="00075D20"/>
    <w:rsid w:val="000769A2"/>
    <w:rsid w:val="00077F6C"/>
    <w:rsid w:val="00083536"/>
    <w:rsid w:val="00084ACE"/>
    <w:rsid w:val="00086BAB"/>
    <w:rsid w:val="00091FC5"/>
    <w:rsid w:val="000A07E5"/>
    <w:rsid w:val="000A15E7"/>
    <w:rsid w:val="000A7828"/>
    <w:rsid w:val="000C414B"/>
    <w:rsid w:val="000D04AC"/>
    <w:rsid w:val="000D2CF7"/>
    <w:rsid w:val="000D769C"/>
    <w:rsid w:val="000E47FF"/>
    <w:rsid w:val="00101D7B"/>
    <w:rsid w:val="00110320"/>
    <w:rsid w:val="00112A88"/>
    <w:rsid w:val="00113BBB"/>
    <w:rsid w:val="00121B15"/>
    <w:rsid w:val="00141889"/>
    <w:rsid w:val="00157A98"/>
    <w:rsid w:val="00167188"/>
    <w:rsid w:val="001842C8"/>
    <w:rsid w:val="001A074E"/>
    <w:rsid w:val="001A096B"/>
    <w:rsid w:val="001C2725"/>
    <w:rsid w:val="001D3C18"/>
    <w:rsid w:val="001D4424"/>
    <w:rsid w:val="001E2D1C"/>
    <w:rsid w:val="0020232F"/>
    <w:rsid w:val="00203C39"/>
    <w:rsid w:val="00206C7E"/>
    <w:rsid w:val="0021004B"/>
    <w:rsid w:val="00217BAE"/>
    <w:rsid w:val="00224BD5"/>
    <w:rsid w:val="00232E6A"/>
    <w:rsid w:val="002445FE"/>
    <w:rsid w:val="002566F4"/>
    <w:rsid w:val="00266DD5"/>
    <w:rsid w:val="0027176A"/>
    <w:rsid w:val="0027662D"/>
    <w:rsid w:val="00276D1D"/>
    <w:rsid w:val="0028124B"/>
    <w:rsid w:val="00292EF0"/>
    <w:rsid w:val="00295D04"/>
    <w:rsid w:val="00296EEF"/>
    <w:rsid w:val="002A1030"/>
    <w:rsid w:val="002B1008"/>
    <w:rsid w:val="002B4EAC"/>
    <w:rsid w:val="002B736E"/>
    <w:rsid w:val="002D2BDA"/>
    <w:rsid w:val="002E1B71"/>
    <w:rsid w:val="002E3BED"/>
    <w:rsid w:val="002E3EE6"/>
    <w:rsid w:val="002E7457"/>
    <w:rsid w:val="003014FC"/>
    <w:rsid w:val="00311113"/>
    <w:rsid w:val="0031578F"/>
    <w:rsid w:val="003269EC"/>
    <w:rsid w:val="00333D6A"/>
    <w:rsid w:val="003341B7"/>
    <w:rsid w:val="003408BF"/>
    <w:rsid w:val="00345107"/>
    <w:rsid w:val="003455D2"/>
    <w:rsid w:val="00345608"/>
    <w:rsid w:val="00347CE4"/>
    <w:rsid w:val="00360B67"/>
    <w:rsid w:val="00374477"/>
    <w:rsid w:val="00375102"/>
    <w:rsid w:val="00375843"/>
    <w:rsid w:val="00392166"/>
    <w:rsid w:val="003927B7"/>
    <w:rsid w:val="003A12CC"/>
    <w:rsid w:val="003B4451"/>
    <w:rsid w:val="003C6068"/>
    <w:rsid w:val="003D0D30"/>
    <w:rsid w:val="003D46E1"/>
    <w:rsid w:val="003F6F64"/>
    <w:rsid w:val="0040128B"/>
    <w:rsid w:val="00403519"/>
    <w:rsid w:val="00405B37"/>
    <w:rsid w:val="0041472D"/>
    <w:rsid w:val="004207ED"/>
    <w:rsid w:val="00423161"/>
    <w:rsid w:val="00424097"/>
    <w:rsid w:val="00427DC1"/>
    <w:rsid w:val="00434500"/>
    <w:rsid w:val="004404E0"/>
    <w:rsid w:val="00446AA1"/>
    <w:rsid w:val="00453AF2"/>
    <w:rsid w:val="00454478"/>
    <w:rsid w:val="00455258"/>
    <w:rsid w:val="00456A4D"/>
    <w:rsid w:val="00465257"/>
    <w:rsid w:val="0047100F"/>
    <w:rsid w:val="004712EE"/>
    <w:rsid w:val="0048219C"/>
    <w:rsid w:val="00484269"/>
    <w:rsid w:val="00492AE3"/>
    <w:rsid w:val="004C7AB1"/>
    <w:rsid w:val="004E0CF1"/>
    <w:rsid w:val="004F2095"/>
    <w:rsid w:val="005005E1"/>
    <w:rsid w:val="0051376E"/>
    <w:rsid w:val="00513CFF"/>
    <w:rsid w:val="00527B0E"/>
    <w:rsid w:val="0053238B"/>
    <w:rsid w:val="00557B91"/>
    <w:rsid w:val="0056328D"/>
    <w:rsid w:val="00573025"/>
    <w:rsid w:val="00575E99"/>
    <w:rsid w:val="00593458"/>
    <w:rsid w:val="00593E84"/>
    <w:rsid w:val="00596A69"/>
    <w:rsid w:val="005B1CCC"/>
    <w:rsid w:val="005C04DC"/>
    <w:rsid w:val="005C7874"/>
    <w:rsid w:val="005D5E34"/>
    <w:rsid w:val="005E3B39"/>
    <w:rsid w:val="0061318B"/>
    <w:rsid w:val="00617911"/>
    <w:rsid w:val="00617B4D"/>
    <w:rsid w:val="006244D5"/>
    <w:rsid w:val="00640C24"/>
    <w:rsid w:val="00647907"/>
    <w:rsid w:val="00653726"/>
    <w:rsid w:val="00661B3C"/>
    <w:rsid w:val="006632E9"/>
    <w:rsid w:val="00691B0B"/>
    <w:rsid w:val="006960D0"/>
    <w:rsid w:val="0069766B"/>
    <w:rsid w:val="006B3489"/>
    <w:rsid w:val="006E5079"/>
    <w:rsid w:val="006E71C1"/>
    <w:rsid w:val="006F21BA"/>
    <w:rsid w:val="007012E7"/>
    <w:rsid w:val="00701CDF"/>
    <w:rsid w:val="0071183A"/>
    <w:rsid w:val="00712800"/>
    <w:rsid w:val="0072178D"/>
    <w:rsid w:val="007239E6"/>
    <w:rsid w:val="00726E91"/>
    <w:rsid w:val="00731811"/>
    <w:rsid w:val="00733D4E"/>
    <w:rsid w:val="00742A41"/>
    <w:rsid w:val="00750B8D"/>
    <w:rsid w:val="00750C91"/>
    <w:rsid w:val="007563BB"/>
    <w:rsid w:val="007A5F3B"/>
    <w:rsid w:val="007B63D2"/>
    <w:rsid w:val="007B71A2"/>
    <w:rsid w:val="007D3FF9"/>
    <w:rsid w:val="007D4DF8"/>
    <w:rsid w:val="007D62B7"/>
    <w:rsid w:val="007F0C89"/>
    <w:rsid w:val="007F324D"/>
    <w:rsid w:val="007F3679"/>
    <w:rsid w:val="00800B8D"/>
    <w:rsid w:val="008070F2"/>
    <w:rsid w:val="0081738C"/>
    <w:rsid w:val="008458AE"/>
    <w:rsid w:val="00855244"/>
    <w:rsid w:val="00863B5D"/>
    <w:rsid w:val="00874446"/>
    <w:rsid w:val="008856EC"/>
    <w:rsid w:val="008B0154"/>
    <w:rsid w:val="008D6370"/>
    <w:rsid w:val="008D7664"/>
    <w:rsid w:val="008E02A8"/>
    <w:rsid w:val="008E0ADC"/>
    <w:rsid w:val="008E20D6"/>
    <w:rsid w:val="008E2963"/>
    <w:rsid w:val="008E50D7"/>
    <w:rsid w:val="008F34E3"/>
    <w:rsid w:val="00906169"/>
    <w:rsid w:val="00907206"/>
    <w:rsid w:val="009246C3"/>
    <w:rsid w:val="00926889"/>
    <w:rsid w:val="00932CAE"/>
    <w:rsid w:val="00947E59"/>
    <w:rsid w:val="0098040C"/>
    <w:rsid w:val="0098374E"/>
    <w:rsid w:val="00991A9A"/>
    <w:rsid w:val="009A2CB7"/>
    <w:rsid w:val="009A3B6A"/>
    <w:rsid w:val="009D43A3"/>
    <w:rsid w:val="009E1FBA"/>
    <w:rsid w:val="00A05E3F"/>
    <w:rsid w:val="00A17D35"/>
    <w:rsid w:val="00A20713"/>
    <w:rsid w:val="00A73646"/>
    <w:rsid w:val="00A73B71"/>
    <w:rsid w:val="00A87163"/>
    <w:rsid w:val="00AA50FE"/>
    <w:rsid w:val="00AA6520"/>
    <w:rsid w:val="00AB0EE6"/>
    <w:rsid w:val="00AC1BE7"/>
    <w:rsid w:val="00AC1EF8"/>
    <w:rsid w:val="00AD2486"/>
    <w:rsid w:val="00AE02A9"/>
    <w:rsid w:val="00AE0A91"/>
    <w:rsid w:val="00B049B5"/>
    <w:rsid w:val="00B13C5B"/>
    <w:rsid w:val="00B17376"/>
    <w:rsid w:val="00B276B4"/>
    <w:rsid w:val="00B36643"/>
    <w:rsid w:val="00B413FC"/>
    <w:rsid w:val="00B549CA"/>
    <w:rsid w:val="00B6021A"/>
    <w:rsid w:val="00B642AC"/>
    <w:rsid w:val="00B64481"/>
    <w:rsid w:val="00B6551C"/>
    <w:rsid w:val="00B65C06"/>
    <w:rsid w:val="00B724D6"/>
    <w:rsid w:val="00B74ECA"/>
    <w:rsid w:val="00B77A03"/>
    <w:rsid w:val="00B84689"/>
    <w:rsid w:val="00B86FB3"/>
    <w:rsid w:val="00B90294"/>
    <w:rsid w:val="00B91001"/>
    <w:rsid w:val="00BA1A00"/>
    <w:rsid w:val="00BA2DB0"/>
    <w:rsid w:val="00BA347E"/>
    <w:rsid w:val="00BB3BFA"/>
    <w:rsid w:val="00BC6B0F"/>
    <w:rsid w:val="00BD55FC"/>
    <w:rsid w:val="00BD5C57"/>
    <w:rsid w:val="00BE130E"/>
    <w:rsid w:val="00BE1E80"/>
    <w:rsid w:val="00BE378C"/>
    <w:rsid w:val="00C06687"/>
    <w:rsid w:val="00C27B29"/>
    <w:rsid w:val="00C31BA4"/>
    <w:rsid w:val="00C5002B"/>
    <w:rsid w:val="00C62E66"/>
    <w:rsid w:val="00C67FA7"/>
    <w:rsid w:val="00C76004"/>
    <w:rsid w:val="00C76E81"/>
    <w:rsid w:val="00C83E82"/>
    <w:rsid w:val="00CB78B9"/>
    <w:rsid w:val="00CC12F0"/>
    <w:rsid w:val="00CC2E11"/>
    <w:rsid w:val="00CD26AF"/>
    <w:rsid w:val="00CD6341"/>
    <w:rsid w:val="00CE5D61"/>
    <w:rsid w:val="00CF42F4"/>
    <w:rsid w:val="00CF4E63"/>
    <w:rsid w:val="00CF5FC2"/>
    <w:rsid w:val="00CF65BB"/>
    <w:rsid w:val="00CF6C6D"/>
    <w:rsid w:val="00CF6FF5"/>
    <w:rsid w:val="00D03809"/>
    <w:rsid w:val="00D11D03"/>
    <w:rsid w:val="00D17045"/>
    <w:rsid w:val="00D33B29"/>
    <w:rsid w:val="00D36DFE"/>
    <w:rsid w:val="00D40A50"/>
    <w:rsid w:val="00D45F0E"/>
    <w:rsid w:val="00D7538F"/>
    <w:rsid w:val="00D86EAD"/>
    <w:rsid w:val="00D90D9A"/>
    <w:rsid w:val="00D95915"/>
    <w:rsid w:val="00D97F79"/>
    <w:rsid w:val="00DC570D"/>
    <w:rsid w:val="00DE12D6"/>
    <w:rsid w:val="00E01E3B"/>
    <w:rsid w:val="00E070BF"/>
    <w:rsid w:val="00E20551"/>
    <w:rsid w:val="00E25132"/>
    <w:rsid w:val="00E26957"/>
    <w:rsid w:val="00E27ED6"/>
    <w:rsid w:val="00E36CAA"/>
    <w:rsid w:val="00E40950"/>
    <w:rsid w:val="00E41115"/>
    <w:rsid w:val="00E571B0"/>
    <w:rsid w:val="00E627A6"/>
    <w:rsid w:val="00E6426F"/>
    <w:rsid w:val="00E81EA9"/>
    <w:rsid w:val="00E90FD8"/>
    <w:rsid w:val="00E95E52"/>
    <w:rsid w:val="00EC48C5"/>
    <w:rsid w:val="00ED1292"/>
    <w:rsid w:val="00ED161A"/>
    <w:rsid w:val="00ED1FDE"/>
    <w:rsid w:val="00ED2EA1"/>
    <w:rsid w:val="00ED610D"/>
    <w:rsid w:val="00EE053A"/>
    <w:rsid w:val="00EE277E"/>
    <w:rsid w:val="00EF31FD"/>
    <w:rsid w:val="00F014B2"/>
    <w:rsid w:val="00F53AD5"/>
    <w:rsid w:val="00F62797"/>
    <w:rsid w:val="00F64DA8"/>
    <w:rsid w:val="00FA24D6"/>
    <w:rsid w:val="00FB1A89"/>
    <w:rsid w:val="00FC2317"/>
    <w:rsid w:val="00FC46D0"/>
    <w:rsid w:val="00FF0FD9"/>
    <w:rsid w:val="00FF76EC"/>
    <w:rsid w:val="235C1DEC"/>
    <w:rsid w:val="366B12A7"/>
    <w:rsid w:val="4BA5922D"/>
    <w:rsid w:val="51BF8AAA"/>
    <w:rsid w:val="6CB63C8D"/>
    <w:rsid w:val="71F94A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37861"/>
  <w15:chartTrackingRefBased/>
  <w15:docId w15:val="{7C3C05A6-930F-43AF-9498-8E083549B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DB0"/>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BA2DB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A2DB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A2DB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2DB0"/>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BA2DB0"/>
    <w:rPr>
      <w:rFonts w:ascii="Tahoma" w:hAnsi="Tahoma" w:cs="Tahoma"/>
      <w:sz w:val="16"/>
      <w:szCs w:val="16"/>
    </w:rPr>
  </w:style>
  <w:style w:type="character" w:customStyle="1" w:styleId="BalloonTextChar">
    <w:name w:val="Balloon Text Char"/>
    <w:basedOn w:val="DefaultParagraphFont"/>
    <w:link w:val="BalloonText"/>
    <w:rsid w:val="00BA2DB0"/>
    <w:rPr>
      <w:rFonts w:ascii="Tahoma" w:eastAsia="MS Mincho" w:hAnsi="Tahoma" w:cs="Tahoma"/>
      <w:sz w:val="16"/>
      <w:szCs w:val="16"/>
    </w:rPr>
  </w:style>
  <w:style w:type="paragraph" w:styleId="FootnoteText">
    <w:name w:val="footnote text"/>
    <w:basedOn w:val="Normal"/>
    <w:link w:val="FootnoteTextChar"/>
    <w:semiHidden/>
    <w:rsid w:val="00BA2DB0"/>
    <w:pPr>
      <w:spacing w:before="60"/>
    </w:pPr>
    <w:rPr>
      <w:sz w:val="20"/>
    </w:rPr>
  </w:style>
  <w:style w:type="character" w:customStyle="1" w:styleId="FootnoteTextChar">
    <w:name w:val="Footnote Text Char"/>
    <w:basedOn w:val="DefaultParagraphFont"/>
    <w:link w:val="FootnoteText"/>
    <w:semiHidden/>
    <w:rsid w:val="00BA2DB0"/>
    <w:rPr>
      <w:rFonts w:ascii="Times New Roman" w:eastAsia="MS Mincho" w:hAnsi="Times New Roman" w:cs="Times New Roman"/>
      <w:sz w:val="20"/>
      <w:szCs w:val="24"/>
    </w:rPr>
  </w:style>
  <w:style w:type="character" w:styleId="FootnoteReference">
    <w:name w:val="footnote reference"/>
    <w:basedOn w:val="DefaultParagraphFont"/>
    <w:semiHidden/>
    <w:rsid w:val="00BA2DB0"/>
    <w:rPr>
      <w:vertAlign w:val="superscript"/>
    </w:rPr>
  </w:style>
  <w:style w:type="paragraph" w:customStyle="1" w:styleId="IPPParagraphnumbering">
    <w:name w:val="IPP Paragraph numbering"/>
    <w:basedOn w:val="IPPNormal"/>
    <w:qFormat/>
    <w:rsid w:val="00BA2DB0"/>
    <w:pPr>
      <w:numPr>
        <w:numId w:val="3"/>
      </w:numPr>
    </w:pPr>
    <w:rPr>
      <w:lang w:val="en-US"/>
    </w:rPr>
  </w:style>
  <w:style w:type="numbering" w:customStyle="1" w:styleId="IPPParagraphnumberedlist">
    <w:name w:val="IPP Paragraph numbered list"/>
    <w:rsid w:val="00BA2DB0"/>
    <w:pPr>
      <w:numPr>
        <w:numId w:val="2"/>
      </w:numPr>
    </w:pPr>
  </w:style>
  <w:style w:type="paragraph" w:customStyle="1" w:styleId="IPPBullet2">
    <w:name w:val="IPP Bullet2"/>
    <w:basedOn w:val="IPPNormal"/>
    <w:next w:val="IPPBullet1"/>
    <w:qFormat/>
    <w:rsid w:val="00BA2DB0"/>
    <w:pPr>
      <w:numPr>
        <w:numId w:val="16"/>
      </w:numPr>
      <w:tabs>
        <w:tab w:val="left" w:pos="1134"/>
      </w:tabs>
      <w:spacing w:after="60"/>
      <w:ind w:left="1134" w:hanging="567"/>
    </w:pPr>
  </w:style>
  <w:style w:type="paragraph" w:styleId="Header">
    <w:name w:val="header"/>
    <w:basedOn w:val="Normal"/>
    <w:link w:val="HeaderChar"/>
    <w:rsid w:val="00BA2DB0"/>
    <w:pPr>
      <w:tabs>
        <w:tab w:val="center" w:pos="4680"/>
        <w:tab w:val="right" w:pos="9360"/>
      </w:tabs>
    </w:pPr>
  </w:style>
  <w:style w:type="character" w:customStyle="1" w:styleId="HeaderChar">
    <w:name w:val="Header Char"/>
    <w:basedOn w:val="DefaultParagraphFont"/>
    <w:link w:val="Header"/>
    <w:rsid w:val="00BA2DB0"/>
    <w:rPr>
      <w:rFonts w:ascii="Times New Roman" w:eastAsia="MS Mincho" w:hAnsi="Times New Roman" w:cs="Times New Roman"/>
      <w:szCs w:val="24"/>
    </w:rPr>
  </w:style>
  <w:style w:type="paragraph" w:styleId="Footer">
    <w:name w:val="footer"/>
    <w:basedOn w:val="Normal"/>
    <w:link w:val="FooterChar"/>
    <w:rsid w:val="00BA2DB0"/>
    <w:pPr>
      <w:tabs>
        <w:tab w:val="center" w:pos="4680"/>
        <w:tab w:val="right" w:pos="9360"/>
      </w:tabs>
    </w:pPr>
  </w:style>
  <w:style w:type="character" w:customStyle="1" w:styleId="FooterChar">
    <w:name w:val="Footer Char"/>
    <w:basedOn w:val="DefaultParagraphFont"/>
    <w:link w:val="Footer"/>
    <w:rsid w:val="00BA2DB0"/>
    <w:rPr>
      <w:rFonts w:ascii="Times New Roman" w:eastAsia="MS Mincho" w:hAnsi="Times New Roman" w:cs="Times New Roman"/>
      <w:szCs w:val="24"/>
    </w:rPr>
  </w:style>
  <w:style w:type="paragraph" w:customStyle="1" w:styleId="IPPBullet1">
    <w:name w:val="IPP Bullet1"/>
    <w:basedOn w:val="IPPBullet1Last"/>
    <w:qFormat/>
    <w:rsid w:val="00BA2DB0"/>
    <w:pPr>
      <w:numPr>
        <w:numId w:val="30"/>
      </w:numPr>
      <w:spacing w:after="60"/>
      <w:ind w:left="567" w:hanging="567"/>
    </w:pPr>
    <w:rPr>
      <w:lang w:val="en-US"/>
    </w:rPr>
  </w:style>
  <w:style w:type="character" w:customStyle="1" w:styleId="fontstyle01">
    <w:name w:val="fontstyle01"/>
    <w:basedOn w:val="DefaultParagraphFont"/>
    <w:rsid w:val="00F53AD5"/>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F53AD5"/>
    <w:rPr>
      <w:rFonts w:ascii="TimesNewRomanPSMT" w:hAnsi="TimesNewRomanPSMT" w:hint="default"/>
      <w:b w:val="0"/>
      <w:bCs w:val="0"/>
      <w:i w:val="0"/>
      <w:iCs w:val="0"/>
      <w:color w:val="000000"/>
      <w:sz w:val="22"/>
      <w:szCs w:val="22"/>
    </w:rPr>
  </w:style>
  <w:style w:type="character" w:styleId="Hyperlink">
    <w:name w:val="Hyperlink"/>
    <w:basedOn w:val="DefaultParagraphFont"/>
    <w:uiPriority w:val="99"/>
    <w:unhideWhenUsed/>
    <w:rsid w:val="00CB78B9"/>
    <w:rPr>
      <w:color w:val="0563C1" w:themeColor="hyperlink"/>
      <w:u w:val="single"/>
    </w:rPr>
  </w:style>
  <w:style w:type="character" w:customStyle="1" w:styleId="UnresolvedMention1">
    <w:name w:val="Unresolved Mention1"/>
    <w:basedOn w:val="DefaultParagraphFont"/>
    <w:uiPriority w:val="99"/>
    <w:semiHidden/>
    <w:unhideWhenUsed/>
    <w:rsid w:val="00CB78B9"/>
    <w:rPr>
      <w:color w:val="605E5C"/>
      <w:shd w:val="clear" w:color="auto" w:fill="E1DFDD"/>
    </w:rPr>
  </w:style>
  <w:style w:type="character" w:styleId="CommentReference">
    <w:name w:val="annotation reference"/>
    <w:basedOn w:val="DefaultParagraphFont"/>
    <w:uiPriority w:val="99"/>
    <w:semiHidden/>
    <w:unhideWhenUsed/>
    <w:rsid w:val="00FC2317"/>
    <w:rPr>
      <w:sz w:val="16"/>
      <w:szCs w:val="16"/>
    </w:rPr>
  </w:style>
  <w:style w:type="paragraph" w:styleId="CommentText">
    <w:name w:val="annotation text"/>
    <w:basedOn w:val="Normal"/>
    <w:link w:val="CommentTextChar"/>
    <w:uiPriority w:val="99"/>
    <w:unhideWhenUsed/>
    <w:rsid w:val="00FC2317"/>
    <w:rPr>
      <w:sz w:val="20"/>
      <w:szCs w:val="20"/>
    </w:rPr>
  </w:style>
  <w:style w:type="character" w:customStyle="1" w:styleId="CommentTextChar">
    <w:name w:val="Comment Text Char"/>
    <w:basedOn w:val="DefaultParagraphFont"/>
    <w:link w:val="CommentText"/>
    <w:uiPriority w:val="99"/>
    <w:rsid w:val="00FC2317"/>
    <w:rPr>
      <w:sz w:val="20"/>
      <w:szCs w:val="20"/>
    </w:rPr>
  </w:style>
  <w:style w:type="paragraph" w:styleId="CommentSubject">
    <w:name w:val="annotation subject"/>
    <w:basedOn w:val="CommentText"/>
    <w:next w:val="CommentText"/>
    <w:link w:val="CommentSubjectChar"/>
    <w:uiPriority w:val="99"/>
    <w:semiHidden/>
    <w:unhideWhenUsed/>
    <w:rsid w:val="00FC2317"/>
    <w:rPr>
      <w:b/>
      <w:bCs/>
    </w:rPr>
  </w:style>
  <w:style w:type="character" w:customStyle="1" w:styleId="CommentSubjectChar">
    <w:name w:val="Comment Subject Char"/>
    <w:basedOn w:val="CommentTextChar"/>
    <w:link w:val="CommentSubject"/>
    <w:uiPriority w:val="99"/>
    <w:semiHidden/>
    <w:rsid w:val="00FC2317"/>
    <w:rPr>
      <w:b/>
      <w:bCs/>
      <w:sz w:val="20"/>
      <w:szCs w:val="20"/>
    </w:rPr>
  </w:style>
  <w:style w:type="paragraph" w:customStyle="1" w:styleId="paragraph">
    <w:name w:val="paragraph"/>
    <w:basedOn w:val="Normal"/>
    <w:rsid w:val="001D4424"/>
    <w:pPr>
      <w:spacing w:before="100" w:beforeAutospacing="1" w:after="100" w:afterAutospacing="1"/>
    </w:pPr>
    <w:rPr>
      <w:rFonts w:eastAsia="Times New Roman"/>
      <w:sz w:val="24"/>
      <w:lang w:val="en-US"/>
    </w:rPr>
  </w:style>
  <w:style w:type="character" w:customStyle="1" w:styleId="normaltextrun">
    <w:name w:val="normaltextrun"/>
    <w:basedOn w:val="DefaultParagraphFont"/>
    <w:rsid w:val="001D4424"/>
  </w:style>
  <w:style w:type="character" w:customStyle="1" w:styleId="superscript">
    <w:name w:val="superscript"/>
    <w:basedOn w:val="DefaultParagraphFont"/>
    <w:rsid w:val="001D4424"/>
  </w:style>
  <w:style w:type="character" w:customStyle="1" w:styleId="eop">
    <w:name w:val="eop"/>
    <w:basedOn w:val="DefaultParagraphFont"/>
    <w:rsid w:val="001D4424"/>
  </w:style>
  <w:style w:type="character" w:customStyle="1" w:styleId="Heading1Char">
    <w:name w:val="Heading 1 Char"/>
    <w:basedOn w:val="DefaultParagraphFont"/>
    <w:link w:val="Heading1"/>
    <w:rsid w:val="00BA2DB0"/>
    <w:rPr>
      <w:rFonts w:ascii="Times New Roman" w:eastAsia="MS Mincho" w:hAnsi="Times New Roman" w:cs="Times New Roman"/>
      <w:b/>
      <w:bCs/>
      <w:szCs w:val="24"/>
    </w:rPr>
  </w:style>
  <w:style w:type="paragraph" w:customStyle="1" w:styleId="IPPHeader">
    <w:name w:val="IPP Header"/>
    <w:basedOn w:val="Normal"/>
    <w:qFormat/>
    <w:rsid w:val="00BA2DB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BA2DB0"/>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BA2DB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A2DB0"/>
    <w:rPr>
      <w:rFonts w:ascii="Courier" w:eastAsia="Times" w:hAnsi="Courier" w:cs="Times New Roman"/>
      <w:sz w:val="21"/>
      <w:szCs w:val="21"/>
      <w:lang w:val="en-AU"/>
    </w:rPr>
  </w:style>
  <w:style w:type="character" w:customStyle="1" w:styleId="Heading2Char">
    <w:name w:val="Heading 2 Char"/>
    <w:basedOn w:val="DefaultParagraphFont"/>
    <w:link w:val="Heading2"/>
    <w:rsid w:val="00BA2DB0"/>
    <w:rPr>
      <w:rFonts w:ascii="Calibri" w:eastAsia="MS Mincho" w:hAnsi="Calibri" w:cs="Times New Roman"/>
      <w:b/>
      <w:bCs/>
      <w:i/>
      <w:iCs/>
      <w:sz w:val="28"/>
      <w:szCs w:val="28"/>
    </w:rPr>
  </w:style>
  <w:style w:type="character" w:customStyle="1" w:styleId="Heading3Char">
    <w:name w:val="Heading 3 Char"/>
    <w:basedOn w:val="DefaultParagraphFont"/>
    <w:link w:val="Heading3"/>
    <w:rsid w:val="00BA2DB0"/>
    <w:rPr>
      <w:rFonts w:ascii="Calibri" w:eastAsia="MS Mincho" w:hAnsi="Calibri" w:cs="Times New Roman"/>
      <w:b/>
      <w:bCs/>
      <w:sz w:val="26"/>
      <w:szCs w:val="26"/>
    </w:rPr>
  </w:style>
  <w:style w:type="paragraph" w:customStyle="1" w:styleId="Style">
    <w:name w:val="Style"/>
    <w:basedOn w:val="Footer"/>
    <w:autoRedefine/>
    <w:qFormat/>
    <w:rsid w:val="00BA2DB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A2DB0"/>
    <w:rPr>
      <w:rFonts w:ascii="Arial" w:hAnsi="Arial"/>
      <w:b/>
      <w:sz w:val="18"/>
    </w:rPr>
  </w:style>
  <w:style w:type="paragraph" w:customStyle="1" w:styleId="IPPArialFootnote">
    <w:name w:val="IPP Arial Footnote"/>
    <w:basedOn w:val="IPPArialTable"/>
    <w:qFormat/>
    <w:rsid w:val="00BA2DB0"/>
    <w:pPr>
      <w:tabs>
        <w:tab w:val="left" w:pos="28"/>
      </w:tabs>
      <w:ind w:left="284" w:hanging="284"/>
    </w:pPr>
    <w:rPr>
      <w:sz w:val="16"/>
    </w:rPr>
  </w:style>
  <w:style w:type="paragraph" w:customStyle="1" w:styleId="IPPContentsHead">
    <w:name w:val="IPP ContentsHead"/>
    <w:basedOn w:val="IPPSubhead"/>
    <w:next w:val="IPPNormal"/>
    <w:qFormat/>
    <w:rsid w:val="00BA2DB0"/>
    <w:pPr>
      <w:spacing w:after="240"/>
    </w:pPr>
    <w:rPr>
      <w:sz w:val="24"/>
    </w:rPr>
  </w:style>
  <w:style w:type="table" w:styleId="TableGrid">
    <w:name w:val="Table Grid"/>
    <w:basedOn w:val="TableNormal"/>
    <w:rsid w:val="00BA2DB0"/>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rsid w:val="00BA2DB0"/>
    <w:pPr>
      <w:ind w:left="851" w:right="851"/>
    </w:pPr>
    <w:rPr>
      <w:sz w:val="18"/>
    </w:rPr>
  </w:style>
  <w:style w:type="paragraph" w:customStyle="1" w:styleId="IPPNormal">
    <w:name w:val="IPP Normal"/>
    <w:basedOn w:val="Normal"/>
    <w:qFormat/>
    <w:rsid w:val="00BA2DB0"/>
    <w:pPr>
      <w:spacing w:after="180"/>
    </w:pPr>
    <w:rPr>
      <w:rFonts w:eastAsia="Times"/>
    </w:rPr>
  </w:style>
  <w:style w:type="paragraph" w:customStyle="1" w:styleId="IPPIndentClose">
    <w:name w:val="IPP Indent Close"/>
    <w:basedOn w:val="IPPNormal"/>
    <w:qFormat/>
    <w:rsid w:val="00BA2DB0"/>
    <w:pPr>
      <w:tabs>
        <w:tab w:val="left" w:pos="2835"/>
      </w:tabs>
      <w:spacing w:after="60"/>
      <w:ind w:left="567"/>
    </w:pPr>
  </w:style>
  <w:style w:type="paragraph" w:customStyle="1" w:styleId="IPPIndent">
    <w:name w:val="IPP Indent"/>
    <w:basedOn w:val="IPPIndentClose"/>
    <w:qFormat/>
    <w:rsid w:val="00BA2DB0"/>
    <w:pPr>
      <w:spacing w:after="180"/>
    </w:pPr>
  </w:style>
  <w:style w:type="paragraph" w:customStyle="1" w:styleId="IPPFootnote">
    <w:name w:val="IPP Footnote"/>
    <w:basedOn w:val="IPPArialFootnote"/>
    <w:qFormat/>
    <w:rsid w:val="00BA2DB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A2DB0"/>
    <w:pPr>
      <w:keepNext/>
      <w:tabs>
        <w:tab w:val="left" w:pos="567"/>
      </w:tabs>
      <w:spacing w:before="120" w:after="120"/>
      <w:ind w:left="567" w:hanging="567"/>
    </w:pPr>
    <w:rPr>
      <w:b/>
      <w:i/>
    </w:rPr>
  </w:style>
  <w:style w:type="character" w:customStyle="1" w:styleId="IPPnormalitalics">
    <w:name w:val="IPP normal italics"/>
    <w:basedOn w:val="DefaultParagraphFont"/>
    <w:rsid w:val="00BA2DB0"/>
    <w:rPr>
      <w:rFonts w:ascii="Times New Roman" w:hAnsi="Times New Roman"/>
      <w:i/>
      <w:sz w:val="22"/>
      <w:lang w:val="en-US"/>
    </w:rPr>
  </w:style>
  <w:style w:type="character" w:customStyle="1" w:styleId="IPPNormalbold">
    <w:name w:val="IPP Normal bold"/>
    <w:basedOn w:val="PlainTextChar"/>
    <w:rsid w:val="00BA2DB0"/>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A2DB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A2DB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A2DB0"/>
    <w:pPr>
      <w:keepNext/>
      <w:ind w:left="567" w:hanging="567"/>
      <w:jc w:val="left"/>
    </w:pPr>
    <w:rPr>
      <w:b/>
      <w:bCs/>
      <w:iCs/>
      <w:szCs w:val="22"/>
    </w:rPr>
  </w:style>
  <w:style w:type="character" w:customStyle="1" w:styleId="IPPNormalunderlined">
    <w:name w:val="IPP Normal underlined"/>
    <w:basedOn w:val="DefaultParagraphFont"/>
    <w:rsid w:val="00BA2DB0"/>
    <w:rPr>
      <w:rFonts w:ascii="Times New Roman" w:hAnsi="Times New Roman"/>
      <w:sz w:val="22"/>
      <w:u w:val="single"/>
      <w:lang w:val="en-US"/>
    </w:rPr>
  </w:style>
  <w:style w:type="paragraph" w:customStyle="1" w:styleId="IPPBullet1Last">
    <w:name w:val="IPP Bullet1Last"/>
    <w:basedOn w:val="IPPNormal"/>
    <w:next w:val="IPPNormal"/>
    <w:autoRedefine/>
    <w:qFormat/>
    <w:rsid w:val="00BA2DB0"/>
    <w:pPr>
      <w:numPr>
        <w:numId w:val="53"/>
      </w:numPr>
    </w:pPr>
  </w:style>
  <w:style w:type="character" w:customStyle="1" w:styleId="IPPNormalstrikethrough">
    <w:name w:val="IPP Normal strikethrough"/>
    <w:rsid w:val="00BA2DB0"/>
    <w:rPr>
      <w:rFonts w:ascii="Times New Roman" w:hAnsi="Times New Roman"/>
      <w:strike/>
      <w:dstrike w:val="0"/>
      <w:sz w:val="22"/>
    </w:rPr>
  </w:style>
  <w:style w:type="paragraph" w:customStyle="1" w:styleId="IPPTitle16pt">
    <w:name w:val="IPP Title16pt"/>
    <w:basedOn w:val="Normal"/>
    <w:qFormat/>
    <w:rsid w:val="00BA2DB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A2DB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A2DB0"/>
    <w:pPr>
      <w:keepNext/>
      <w:tabs>
        <w:tab w:val="left" w:pos="567"/>
      </w:tabs>
      <w:spacing w:before="120"/>
      <w:jc w:val="left"/>
      <w:outlineLvl w:val="1"/>
    </w:pPr>
    <w:rPr>
      <w:b/>
      <w:sz w:val="24"/>
    </w:rPr>
  </w:style>
  <w:style w:type="paragraph" w:customStyle="1" w:styleId="IPPNormalCloseSpace">
    <w:name w:val="IPP NormalCloseSpace"/>
    <w:basedOn w:val="Normal"/>
    <w:qFormat/>
    <w:rsid w:val="00BA2DB0"/>
    <w:pPr>
      <w:keepNext/>
      <w:spacing w:after="60"/>
    </w:pPr>
  </w:style>
  <w:style w:type="paragraph" w:customStyle="1" w:styleId="IPPHeading2">
    <w:name w:val="IPP Heading2"/>
    <w:basedOn w:val="IPPNormal"/>
    <w:next w:val="IPPNormal"/>
    <w:qFormat/>
    <w:rsid w:val="00BA2DB0"/>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BA2DB0"/>
    <w:pPr>
      <w:tabs>
        <w:tab w:val="right" w:leader="dot" w:pos="9072"/>
      </w:tabs>
      <w:spacing w:before="240"/>
      <w:ind w:left="567" w:hanging="567"/>
    </w:pPr>
  </w:style>
  <w:style w:type="paragraph" w:styleId="TOC2">
    <w:name w:val="toc 2"/>
    <w:basedOn w:val="TOC1"/>
    <w:next w:val="Normal"/>
    <w:autoRedefine/>
    <w:uiPriority w:val="39"/>
    <w:rsid w:val="00BA2DB0"/>
    <w:pPr>
      <w:keepNext w:val="0"/>
      <w:tabs>
        <w:tab w:val="left" w:pos="425"/>
      </w:tabs>
      <w:spacing w:before="120" w:after="0"/>
      <w:ind w:left="425" w:right="284" w:hanging="425"/>
    </w:pPr>
  </w:style>
  <w:style w:type="paragraph" w:styleId="TOC3">
    <w:name w:val="toc 3"/>
    <w:basedOn w:val="TOC2"/>
    <w:next w:val="Normal"/>
    <w:autoRedefine/>
    <w:uiPriority w:val="39"/>
    <w:rsid w:val="00BA2DB0"/>
    <w:pPr>
      <w:tabs>
        <w:tab w:val="left" w:pos="1276"/>
      </w:tabs>
      <w:spacing w:before="60"/>
      <w:ind w:left="1276" w:hanging="851"/>
    </w:pPr>
    <w:rPr>
      <w:rFonts w:eastAsia="Times"/>
    </w:rPr>
  </w:style>
  <w:style w:type="paragraph" w:styleId="TOC4">
    <w:name w:val="toc 4"/>
    <w:basedOn w:val="Normal"/>
    <w:next w:val="Normal"/>
    <w:autoRedefine/>
    <w:uiPriority w:val="39"/>
    <w:rsid w:val="00BA2DB0"/>
    <w:pPr>
      <w:spacing w:after="120"/>
      <w:ind w:left="660"/>
    </w:pPr>
    <w:rPr>
      <w:rFonts w:eastAsia="Times"/>
      <w:lang w:val="en-AU"/>
    </w:rPr>
  </w:style>
  <w:style w:type="paragraph" w:styleId="TOC5">
    <w:name w:val="toc 5"/>
    <w:basedOn w:val="Normal"/>
    <w:next w:val="Normal"/>
    <w:autoRedefine/>
    <w:uiPriority w:val="39"/>
    <w:rsid w:val="00BA2DB0"/>
    <w:pPr>
      <w:spacing w:after="120"/>
      <w:ind w:left="880"/>
    </w:pPr>
    <w:rPr>
      <w:rFonts w:eastAsia="Times"/>
      <w:lang w:val="en-AU"/>
    </w:rPr>
  </w:style>
  <w:style w:type="paragraph" w:styleId="TOC6">
    <w:name w:val="toc 6"/>
    <w:basedOn w:val="Normal"/>
    <w:next w:val="Normal"/>
    <w:autoRedefine/>
    <w:uiPriority w:val="39"/>
    <w:rsid w:val="00BA2DB0"/>
    <w:pPr>
      <w:spacing w:after="120"/>
      <w:ind w:left="1100"/>
    </w:pPr>
    <w:rPr>
      <w:rFonts w:eastAsia="Times"/>
      <w:lang w:val="en-AU"/>
    </w:rPr>
  </w:style>
  <w:style w:type="paragraph" w:styleId="TOC7">
    <w:name w:val="toc 7"/>
    <w:basedOn w:val="Normal"/>
    <w:next w:val="Normal"/>
    <w:autoRedefine/>
    <w:uiPriority w:val="39"/>
    <w:rsid w:val="00BA2DB0"/>
    <w:pPr>
      <w:spacing w:after="120"/>
      <w:ind w:left="1320"/>
    </w:pPr>
    <w:rPr>
      <w:rFonts w:eastAsia="Times"/>
      <w:lang w:val="en-AU"/>
    </w:rPr>
  </w:style>
  <w:style w:type="paragraph" w:styleId="TOC8">
    <w:name w:val="toc 8"/>
    <w:basedOn w:val="Normal"/>
    <w:next w:val="Normal"/>
    <w:autoRedefine/>
    <w:uiPriority w:val="39"/>
    <w:rsid w:val="00BA2DB0"/>
    <w:pPr>
      <w:spacing w:after="120"/>
      <w:ind w:left="1540"/>
    </w:pPr>
    <w:rPr>
      <w:rFonts w:eastAsia="Times"/>
      <w:lang w:val="en-AU"/>
    </w:rPr>
  </w:style>
  <w:style w:type="paragraph" w:styleId="TOC9">
    <w:name w:val="toc 9"/>
    <w:basedOn w:val="Normal"/>
    <w:next w:val="Normal"/>
    <w:autoRedefine/>
    <w:uiPriority w:val="39"/>
    <w:rsid w:val="00BA2DB0"/>
    <w:pPr>
      <w:spacing w:after="120"/>
      <w:ind w:left="1760"/>
    </w:pPr>
    <w:rPr>
      <w:rFonts w:eastAsia="Times"/>
      <w:lang w:val="en-AU"/>
    </w:rPr>
  </w:style>
  <w:style w:type="paragraph" w:customStyle="1" w:styleId="IPPReferences">
    <w:name w:val="IPP References"/>
    <w:basedOn w:val="IPPNormal"/>
    <w:qFormat/>
    <w:rsid w:val="00BA2DB0"/>
    <w:pPr>
      <w:spacing w:after="60"/>
      <w:ind w:left="567" w:hanging="567"/>
    </w:pPr>
  </w:style>
  <w:style w:type="paragraph" w:customStyle="1" w:styleId="IPPArial">
    <w:name w:val="IPP Arial"/>
    <w:basedOn w:val="IPPNormal"/>
    <w:qFormat/>
    <w:rsid w:val="00BA2DB0"/>
    <w:pPr>
      <w:spacing w:after="0"/>
    </w:pPr>
    <w:rPr>
      <w:rFonts w:ascii="Arial" w:hAnsi="Arial"/>
      <w:sz w:val="18"/>
    </w:rPr>
  </w:style>
  <w:style w:type="paragraph" w:customStyle="1" w:styleId="IPPArialTable">
    <w:name w:val="IPP Arial Table"/>
    <w:basedOn w:val="IPPArial"/>
    <w:qFormat/>
    <w:rsid w:val="00BA2DB0"/>
    <w:pPr>
      <w:spacing w:before="60" w:after="60"/>
      <w:jc w:val="left"/>
    </w:pPr>
  </w:style>
  <w:style w:type="paragraph" w:customStyle="1" w:styleId="IPPHeaderlandscape">
    <w:name w:val="IPP Header landscape"/>
    <w:basedOn w:val="IPPHeader"/>
    <w:qFormat/>
    <w:rsid w:val="00BA2DB0"/>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BA2DB0"/>
    <w:pPr>
      <w:numPr>
        <w:numId w:val="50"/>
      </w:numPr>
      <w:jc w:val="left"/>
    </w:pPr>
  </w:style>
  <w:style w:type="paragraph" w:customStyle="1" w:styleId="IPPLetterListIndent">
    <w:name w:val="IPP LetterList Indent"/>
    <w:basedOn w:val="IPPLetterList"/>
    <w:qFormat/>
    <w:rsid w:val="00BA2DB0"/>
    <w:pPr>
      <w:numPr>
        <w:numId w:val="51"/>
      </w:numPr>
    </w:pPr>
  </w:style>
  <w:style w:type="paragraph" w:customStyle="1" w:styleId="IPPFooterLandscape">
    <w:name w:val="IPP Footer Landscape"/>
    <w:basedOn w:val="IPPHeaderlandscape"/>
    <w:qFormat/>
    <w:rsid w:val="00BA2DB0"/>
    <w:pPr>
      <w:pBdr>
        <w:top w:val="single" w:sz="4" w:space="1" w:color="auto"/>
        <w:bottom w:val="none" w:sz="0" w:space="0" w:color="auto"/>
      </w:pBdr>
      <w:jc w:val="right"/>
    </w:pPr>
    <w:rPr>
      <w:b/>
    </w:rPr>
  </w:style>
  <w:style w:type="paragraph" w:customStyle="1" w:styleId="IPPSubheadSpace">
    <w:name w:val="IPP Subhead Space"/>
    <w:basedOn w:val="IPPSubhead"/>
    <w:qFormat/>
    <w:rsid w:val="00BA2DB0"/>
    <w:pPr>
      <w:tabs>
        <w:tab w:val="left" w:pos="567"/>
      </w:tabs>
      <w:spacing w:before="60" w:after="60"/>
    </w:pPr>
  </w:style>
  <w:style w:type="paragraph" w:customStyle="1" w:styleId="IPPSubheadSpaceAfter">
    <w:name w:val="IPP Subhead SpaceAfter"/>
    <w:basedOn w:val="IPPSubhead"/>
    <w:qFormat/>
    <w:rsid w:val="00BA2DB0"/>
    <w:pPr>
      <w:spacing w:after="60"/>
    </w:pPr>
  </w:style>
  <w:style w:type="paragraph" w:customStyle="1" w:styleId="IPPHdg1Num">
    <w:name w:val="IPP Hdg1Num"/>
    <w:basedOn w:val="IPPHeading1"/>
    <w:next w:val="IPPNormal"/>
    <w:qFormat/>
    <w:rsid w:val="00BA2DB0"/>
    <w:pPr>
      <w:numPr>
        <w:numId w:val="54"/>
      </w:numPr>
    </w:pPr>
  </w:style>
  <w:style w:type="paragraph" w:customStyle="1" w:styleId="IPPHdg2Num">
    <w:name w:val="IPP Hdg2Num"/>
    <w:basedOn w:val="IPPHeading2"/>
    <w:next w:val="IPPNormal"/>
    <w:qFormat/>
    <w:rsid w:val="00BA2DB0"/>
    <w:pPr>
      <w:numPr>
        <w:ilvl w:val="1"/>
        <w:numId w:val="55"/>
      </w:numPr>
    </w:pPr>
  </w:style>
  <w:style w:type="paragraph" w:customStyle="1" w:styleId="IPPNumberedList">
    <w:name w:val="IPP NumberedList"/>
    <w:basedOn w:val="IPPBullet1"/>
    <w:qFormat/>
    <w:rsid w:val="00BA2DB0"/>
    <w:pPr>
      <w:numPr>
        <w:numId w:val="57"/>
      </w:numPr>
    </w:pPr>
  </w:style>
  <w:style w:type="character" w:styleId="Strong">
    <w:name w:val="Strong"/>
    <w:basedOn w:val="DefaultParagraphFont"/>
    <w:qFormat/>
    <w:rsid w:val="00BA2DB0"/>
    <w:rPr>
      <w:b/>
      <w:bCs/>
    </w:rPr>
  </w:style>
  <w:style w:type="paragraph" w:customStyle="1" w:styleId="IPPParagraphnumberingclose">
    <w:name w:val="IPP Paragraph numbering close"/>
    <w:basedOn w:val="IPPParagraphnumbering"/>
    <w:qFormat/>
    <w:rsid w:val="00BA2DB0"/>
    <w:pPr>
      <w:keepNext/>
      <w:spacing w:after="60"/>
    </w:pPr>
  </w:style>
  <w:style w:type="paragraph" w:customStyle="1" w:styleId="IPPNumberedListLast">
    <w:name w:val="IPP NumberedListLast"/>
    <w:basedOn w:val="IPPNumberedList"/>
    <w:qFormat/>
    <w:rsid w:val="00BA2DB0"/>
    <w:pPr>
      <w:spacing w:after="180"/>
    </w:pPr>
  </w:style>
  <w:style w:type="paragraph" w:customStyle="1" w:styleId="DocTitle">
    <w:name w:val="DocTitle"/>
    <w:basedOn w:val="Normal"/>
    <w:link w:val="DocTitleChar"/>
    <w:qFormat/>
    <w:rsid w:val="00A73646"/>
    <w:pPr>
      <w:spacing w:before="240" w:after="360"/>
      <w:jc w:val="center"/>
    </w:pPr>
    <w:rPr>
      <w:rFonts w:eastAsiaTheme="minorHAnsi" w:cs="Akhbar MT"/>
      <w:bCs/>
      <w:color w:val="7F7F7F" w:themeColor="text1" w:themeTint="80"/>
      <w:sz w:val="56"/>
      <w:szCs w:val="72"/>
    </w:rPr>
  </w:style>
  <w:style w:type="character" w:customStyle="1" w:styleId="DocTitleChar">
    <w:name w:val="DocTitle Char"/>
    <w:basedOn w:val="DefaultParagraphFont"/>
    <w:link w:val="DocTitle"/>
    <w:rsid w:val="00A73646"/>
    <w:rPr>
      <w:rFonts w:ascii="Times New Roman" w:hAnsi="Times New Roman" w:cs="Akhbar MT"/>
      <w:bCs/>
      <w:color w:val="7F7F7F" w:themeColor="text1" w:themeTint="80"/>
      <w:sz w:val="56"/>
      <w:szCs w:val="72"/>
    </w:rPr>
  </w:style>
  <w:style w:type="paragraph" w:customStyle="1" w:styleId="NewPara">
    <w:name w:val="NewPara"/>
    <w:basedOn w:val="ListParagraph"/>
    <w:link w:val="NewParaChar"/>
    <w:qFormat/>
    <w:rsid w:val="00A73646"/>
    <w:pPr>
      <w:numPr>
        <w:numId w:val="59"/>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A73646"/>
    <w:rPr>
      <w:rFonts w:ascii="Times New Roman" w:hAnsi="Times New Roman" w:cs="Akhbar MT"/>
      <w:szCs w:val="30"/>
    </w:rPr>
  </w:style>
  <w:style w:type="paragraph" w:customStyle="1" w:styleId="SequentialList">
    <w:name w:val="Sequential List"/>
    <w:basedOn w:val="ListParagraph"/>
    <w:link w:val="SequentialListChar"/>
    <w:qFormat/>
    <w:rsid w:val="00A73646"/>
    <w:pPr>
      <w:numPr>
        <w:numId w:val="61"/>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A73646"/>
    <w:rPr>
      <w:rFonts w:ascii="Times New Roman" w:hAnsi="Times New Roman" w:cs="Akhbar MT"/>
      <w:szCs w:val="30"/>
    </w:rPr>
  </w:style>
  <w:style w:type="paragraph" w:customStyle="1" w:styleId="MeetingInfo">
    <w:name w:val="MeetingInfo"/>
    <w:basedOn w:val="Normal"/>
    <w:link w:val="MeetingInfoChar"/>
    <w:qFormat/>
    <w:rsid w:val="00A73646"/>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rPr>
  </w:style>
  <w:style w:type="character" w:customStyle="1" w:styleId="MeetingInfoChar">
    <w:name w:val="MeetingInfo Char"/>
    <w:basedOn w:val="DefaultParagraphFont"/>
    <w:link w:val="MeetingInfo"/>
    <w:rsid w:val="00A73646"/>
    <w:rPr>
      <w:rFonts w:ascii="Times New Roman Bold" w:hAnsi="Times New Roman Bold" w:cs="Akhbar MT"/>
      <w:b/>
      <w:bCs/>
      <w:sz w:val="28"/>
      <w:szCs w:val="36"/>
    </w:rPr>
  </w:style>
  <w:style w:type="paragraph" w:customStyle="1" w:styleId="Hidden">
    <w:name w:val="Hidden"/>
    <w:basedOn w:val="Normal"/>
    <w:link w:val="HiddenChar"/>
    <w:qFormat/>
    <w:rsid w:val="00A73646"/>
    <w:pPr>
      <w:spacing w:after="200" w:line="20" w:lineRule="exact"/>
      <w:jc w:val="left"/>
    </w:pPr>
    <w:rPr>
      <w:rFonts w:eastAsiaTheme="minorHAnsi" w:cs="Akhbar MT"/>
      <w:sz w:val="2"/>
      <w:szCs w:val="30"/>
    </w:rPr>
  </w:style>
  <w:style w:type="character" w:customStyle="1" w:styleId="HiddenChar">
    <w:name w:val="Hidden Char"/>
    <w:basedOn w:val="DefaultParagraphFont"/>
    <w:link w:val="Hidden"/>
    <w:rsid w:val="00A73646"/>
    <w:rPr>
      <w:rFonts w:ascii="Times New Roman" w:hAnsi="Times New Roman" w:cs="Akhbar MT"/>
      <w:sz w:val="2"/>
      <w:szCs w:val="30"/>
    </w:rPr>
  </w:style>
  <w:style w:type="numbering" w:customStyle="1" w:styleId="WesternSequentialList">
    <w:name w:val="Western Sequential List"/>
    <w:uiPriority w:val="99"/>
    <w:rsid w:val="00A73646"/>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02802">
      <w:bodyDiv w:val="1"/>
      <w:marLeft w:val="0"/>
      <w:marRight w:val="0"/>
      <w:marTop w:val="0"/>
      <w:marBottom w:val="0"/>
      <w:divBdr>
        <w:top w:val="none" w:sz="0" w:space="0" w:color="auto"/>
        <w:left w:val="none" w:sz="0" w:space="0" w:color="auto"/>
        <w:bottom w:val="none" w:sz="0" w:space="0" w:color="auto"/>
        <w:right w:val="none" w:sz="0" w:space="0" w:color="auto"/>
      </w:divBdr>
    </w:div>
    <w:div w:id="121114820">
      <w:bodyDiv w:val="1"/>
      <w:marLeft w:val="0"/>
      <w:marRight w:val="0"/>
      <w:marTop w:val="0"/>
      <w:marBottom w:val="0"/>
      <w:divBdr>
        <w:top w:val="none" w:sz="0" w:space="0" w:color="auto"/>
        <w:left w:val="none" w:sz="0" w:space="0" w:color="auto"/>
        <w:bottom w:val="none" w:sz="0" w:space="0" w:color="auto"/>
        <w:right w:val="none" w:sz="0" w:space="0" w:color="auto"/>
      </w:divBdr>
    </w:div>
    <w:div w:id="400299008">
      <w:bodyDiv w:val="1"/>
      <w:marLeft w:val="0"/>
      <w:marRight w:val="0"/>
      <w:marTop w:val="0"/>
      <w:marBottom w:val="0"/>
      <w:divBdr>
        <w:top w:val="none" w:sz="0" w:space="0" w:color="auto"/>
        <w:left w:val="none" w:sz="0" w:space="0" w:color="auto"/>
        <w:bottom w:val="none" w:sz="0" w:space="0" w:color="auto"/>
        <w:right w:val="none" w:sz="0" w:space="0" w:color="auto"/>
      </w:divBdr>
    </w:div>
    <w:div w:id="657998270">
      <w:bodyDiv w:val="1"/>
      <w:marLeft w:val="0"/>
      <w:marRight w:val="0"/>
      <w:marTop w:val="0"/>
      <w:marBottom w:val="0"/>
      <w:divBdr>
        <w:top w:val="none" w:sz="0" w:space="0" w:color="auto"/>
        <w:left w:val="none" w:sz="0" w:space="0" w:color="auto"/>
        <w:bottom w:val="none" w:sz="0" w:space="0" w:color="auto"/>
        <w:right w:val="none" w:sz="0" w:space="0" w:color="auto"/>
      </w:divBdr>
    </w:div>
    <w:div w:id="1206602819">
      <w:bodyDiv w:val="1"/>
      <w:marLeft w:val="0"/>
      <w:marRight w:val="0"/>
      <w:marTop w:val="0"/>
      <w:marBottom w:val="0"/>
      <w:divBdr>
        <w:top w:val="none" w:sz="0" w:space="0" w:color="auto"/>
        <w:left w:val="none" w:sz="0" w:space="0" w:color="auto"/>
        <w:bottom w:val="none" w:sz="0" w:space="0" w:color="auto"/>
        <w:right w:val="none" w:sz="0" w:space="0" w:color="auto"/>
      </w:divBdr>
    </w:div>
    <w:div w:id="1489784973">
      <w:bodyDiv w:val="1"/>
      <w:marLeft w:val="0"/>
      <w:marRight w:val="0"/>
      <w:marTop w:val="0"/>
      <w:marBottom w:val="0"/>
      <w:divBdr>
        <w:top w:val="none" w:sz="0" w:space="0" w:color="auto"/>
        <w:left w:val="none" w:sz="0" w:space="0" w:color="auto"/>
        <w:bottom w:val="none" w:sz="0" w:space="0" w:color="auto"/>
        <w:right w:val="none" w:sz="0" w:space="0" w:color="auto"/>
      </w:divBdr>
    </w:div>
    <w:div w:id="1662462179">
      <w:bodyDiv w:val="1"/>
      <w:marLeft w:val="0"/>
      <w:marRight w:val="0"/>
      <w:marTop w:val="0"/>
      <w:marBottom w:val="0"/>
      <w:divBdr>
        <w:top w:val="none" w:sz="0" w:space="0" w:color="auto"/>
        <w:left w:val="none" w:sz="0" w:space="0" w:color="auto"/>
        <w:bottom w:val="none" w:sz="0" w:space="0" w:color="auto"/>
        <w:right w:val="none" w:sz="0" w:space="0" w:color="auto"/>
      </w:divBdr>
      <w:divsChild>
        <w:div w:id="1162041873">
          <w:marLeft w:val="720"/>
          <w:marRight w:val="0"/>
          <w:marTop w:val="200"/>
          <w:marBottom w:val="0"/>
          <w:divBdr>
            <w:top w:val="none" w:sz="0" w:space="0" w:color="auto"/>
            <w:left w:val="none" w:sz="0" w:space="0" w:color="auto"/>
            <w:bottom w:val="none" w:sz="0" w:space="0" w:color="auto"/>
            <w:right w:val="none" w:sz="0" w:space="0" w:color="auto"/>
          </w:divBdr>
        </w:div>
        <w:div w:id="1093014282">
          <w:marLeft w:val="720"/>
          <w:marRight w:val="0"/>
          <w:marTop w:val="200"/>
          <w:marBottom w:val="0"/>
          <w:divBdr>
            <w:top w:val="none" w:sz="0" w:space="0" w:color="auto"/>
            <w:left w:val="none" w:sz="0" w:space="0" w:color="auto"/>
            <w:bottom w:val="none" w:sz="0" w:space="0" w:color="auto"/>
            <w:right w:val="none" w:sz="0" w:space="0" w:color="auto"/>
          </w:divBdr>
        </w:div>
        <w:div w:id="687218018">
          <w:marLeft w:val="720"/>
          <w:marRight w:val="0"/>
          <w:marTop w:val="200"/>
          <w:marBottom w:val="0"/>
          <w:divBdr>
            <w:top w:val="none" w:sz="0" w:space="0" w:color="auto"/>
            <w:left w:val="none" w:sz="0" w:space="0" w:color="auto"/>
            <w:bottom w:val="none" w:sz="0" w:space="0" w:color="auto"/>
            <w:right w:val="none" w:sz="0" w:space="0" w:color="auto"/>
          </w:divBdr>
        </w:div>
        <w:div w:id="535313085">
          <w:marLeft w:val="1440"/>
          <w:marRight w:val="0"/>
          <w:marTop w:val="100"/>
          <w:marBottom w:val="0"/>
          <w:divBdr>
            <w:top w:val="none" w:sz="0" w:space="0" w:color="auto"/>
            <w:left w:val="none" w:sz="0" w:space="0" w:color="auto"/>
            <w:bottom w:val="none" w:sz="0" w:space="0" w:color="auto"/>
            <w:right w:val="none" w:sz="0" w:space="0" w:color="auto"/>
          </w:divBdr>
        </w:div>
        <w:div w:id="1262448437">
          <w:marLeft w:val="1440"/>
          <w:marRight w:val="0"/>
          <w:marTop w:val="100"/>
          <w:marBottom w:val="0"/>
          <w:divBdr>
            <w:top w:val="none" w:sz="0" w:space="0" w:color="auto"/>
            <w:left w:val="none" w:sz="0" w:space="0" w:color="auto"/>
            <w:bottom w:val="none" w:sz="0" w:space="0" w:color="auto"/>
            <w:right w:val="none" w:sz="0" w:space="0" w:color="auto"/>
          </w:divBdr>
        </w:div>
      </w:divsChild>
    </w:div>
    <w:div w:id="2113549649">
      <w:bodyDiv w:val="1"/>
      <w:marLeft w:val="0"/>
      <w:marRight w:val="0"/>
      <w:marTop w:val="0"/>
      <w:marBottom w:val="0"/>
      <w:divBdr>
        <w:top w:val="none" w:sz="0" w:space="0" w:color="auto"/>
        <w:left w:val="none" w:sz="0" w:space="0" w:color="auto"/>
        <w:bottom w:val="none" w:sz="0" w:space="0" w:color="auto"/>
        <w:right w:val="none" w:sz="0" w:space="0" w:color="auto"/>
      </w:divBdr>
      <w:divsChild>
        <w:div w:id="980497510">
          <w:marLeft w:val="0"/>
          <w:marRight w:val="0"/>
          <w:marTop w:val="0"/>
          <w:marBottom w:val="0"/>
          <w:divBdr>
            <w:top w:val="none" w:sz="0" w:space="0" w:color="auto"/>
            <w:left w:val="none" w:sz="0" w:space="0" w:color="auto"/>
            <w:bottom w:val="none" w:sz="0" w:space="0" w:color="auto"/>
            <w:right w:val="none" w:sz="0" w:space="0" w:color="auto"/>
          </w:divBdr>
        </w:div>
        <w:div w:id="126752214">
          <w:marLeft w:val="0"/>
          <w:marRight w:val="0"/>
          <w:marTop w:val="0"/>
          <w:marBottom w:val="0"/>
          <w:divBdr>
            <w:top w:val="none" w:sz="0" w:space="0" w:color="auto"/>
            <w:left w:val="none" w:sz="0" w:space="0" w:color="auto"/>
            <w:bottom w:val="none" w:sz="0" w:space="0" w:color="auto"/>
            <w:right w:val="none" w:sz="0" w:space="0" w:color="auto"/>
          </w:divBdr>
        </w:div>
        <w:div w:id="1649940861">
          <w:marLeft w:val="0"/>
          <w:marRight w:val="0"/>
          <w:marTop w:val="0"/>
          <w:marBottom w:val="0"/>
          <w:divBdr>
            <w:top w:val="none" w:sz="0" w:space="0" w:color="auto"/>
            <w:left w:val="none" w:sz="0" w:space="0" w:color="auto"/>
            <w:bottom w:val="none" w:sz="0" w:space="0" w:color="auto"/>
            <w:right w:val="none" w:sz="0" w:space="0" w:color="auto"/>
          </w:divBdr>
        </w:div>
        <w:div w:id="1647512500">
          <w:marLeft w:val="0"/>
          <w:marRight w:val="0"/>
          <w:marTop w:val="0"/>
          <w:marBottom w:val="0"/>
          <w:divBdr>
            <w:top w:val="none" w:sz="0" w:space="0" w:color="auto"/>
            <w:left w:val="none" w:sz="0" w:space="0" w:color="auto"/>
            <w:bottom w:val="none" w:sz="0" w:space="0" w:color="auto"/>
            <w:right w:val="none" w:sz="0" w:space="0" w:color="auto"/>
          </w:divBdr>
        </w:div>
        <w:div w:id="1189491489">
          <w:marLeft w:val="0"/>
          <w:marRight w:val="0"/>
          <w:marTop w:val="0"/>
          <w:marBottom w:val="0"/>
          <w:divBdr>
            <w:top w:val="none" w:sz="0" w:space="0" w:color="auto"/>
            <w:left w:val="none" w:sz="0" w:space="0" w:color="auto"/>
            <w:bottom w:val="none" w:sz="0" w:space="0" w:color="auto"/>
            <w:right w:val="none" w:sz="0" w:space="0" w:color="auto"/>
          </w:divBdr>
        </w:div>
        <w:div w:id="98719388">
          <w:marLeft w:val="0"/>
          <w:marRight w:val="0"/>
          <w:marTop w:val="0"/>
          <w:marBottom w:val="0"/>
          <w:divBdr>
            <w:top w:val="none" w:sz="0" w:space="0" w:color="auto"/>
            <w:left w:val="none" w:sz="0" w:space="0" w:color="auto"/>
            <w:bottom w:val="none" w:sz="0" w:space="0" w:color="auto"/>
            <w:right w:val="none" w:sz="0" w:space="0" w:color="auto"/>
          </w:divBdr>
        </w:div>
        <w:div w:id="706297737">
          <w:marLeft w:val="0"/>
          <w:marRight w:val="0"/>
          <w:marTop w:val="0"/>
          <w:marBottom w:val="0"/>
          <w:divBdr>
            <w:top w:val="none" w:sz="0" w:space="0" w:color="auto"/>
            <w:left w:val="none" w:sz="0" w:space="0" w:color="auto"/>
            <w:bottom w:val="none" w:sz="0" w:space="0" w:color="auto"/>
            <w:right w:val="none" w:sz="0" w:space="0" w:color="auto"/>
          </w:divBdr>
        </w:div>
        <w:div w:id="573899838">
          <w:marLeft w:val="0"/>
          <w:marRight w:val="0"/>
          <w:marTop w:val="0"/>
          <w:marBottom w:val="0"/>
          <w:divBdr>
            <w:top w:val="none" w:sz="0" w:space="0" w:color="auto"/>
            <w:left w:val="none" w:sz="0" w:space="0" w:color="auto"/>
            <w:bottom w:val="none" w:sz="0" w:space="0" w:color="auto"/>
            <w:right w:val="none" w:sz="0" w:space="0" w:color="auto"/>
          </w:divBdr>
        </w:div>
        <w:div w:id="519928694">
          <w:marLeft w:val="0"/>
          <w:marRight w:val="0"/>
          <w:marTop w:val="0"/>
          <w:marBottom w:val="0"/>
          <w:divBdr>
            <w:top w:val="none" w:sz="0" w:space="0" w:color="auto"/>
            <w:left w:val="none" w:sz="0" w:space="0" w:color="auto"/>
            <w:bottom w:val="none" w:sz="0" w:space="0" w:color="auto"/>
            <w:right w:val="none" w:sz="0" w:space="0" w:color="auto"/>
          </w:divBdr>
        </w:div>
        <w:div w:id="1540820852">
          <w:marLeft w:val="0"/>
          <w:marRight w:val="0"/>
          <w:marTop w:val="0"/>
          <w:marBottom w:val="0"/>
          <w:divBdr>
            <w:top w:val="none" w:sz="0" w:space="0" w:color="auto"/>
            <w:left w:val="none" w:sz="0" w:space="0" w:color="auto"/>
            <w:bottom w:val="none" w:sz="0" w:space="0" w:color="auto"/>
            <w:right w:val="none" w:sz="0" w:space="0" w:color="auto"/>
          </w:divBdr>
        </w:div>
        <w:div w:id="1684865908">
          <w:marLeft w:val="0"/>
          <w:marRight w:val="0"/>
          <w:marTop w:val="0"/>
          <w:marBottom w:val="0"/>
          <w:divBdr>
            <w:top w:val="none" w:sz="0" w:space="0" w:color="auto"/>
            <w:left w:val="none" w:sz="0" w:space="0" w:color="auto"/>
            <w:bottom w:val="none" w:sz="0" w:space="0" w:color="auto"/>
            <w:right w:val="none" w:sz="0" w:space="0" w:color="auto"/>
          </w:divBdr>
        </w:div>
        <w:div w:id="2005164428">
          <w:marLeft w:val="0"/>
          <w:marRight w:val="0"/>
          <w:marTop w:val="0"/>
          <w:marBottom w:val="0"/>
          <w:divBdr>
            <w:top w:val="none" w:sz="0" w:space="0" w:color="auto"/>
            <w:left w:val="none" w:sz="0" w:space="0" w:color="auto"/>
            <w:bottom w:val="none" w:sz="0" w:space="0" w:color="auto"/>
            <w:right w:val="none" w:sz="0" w:space="0" w:color="auto"/>
          </w:divBdr>
        </w:div>
        <w:div w:id="255212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oe\OneDrive\Desktop\IPP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FF78D-0642-44B4-A6DE-5E1D9C83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21</TotalTime>
  <Pages>7</Pages>
  <Words>3097</Words>
  <Characters>17658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Shamilov, Artur (NSP)</cp:lastModifiedBy>
  <cp:revision>6</cp:revision>
  <dcterms:created xsi:type="dcterms:W3CDTF">2021-04-22T15:18:00Z</dcterms:created>
  <dcterms:modified xsi:type="dcterms:W3CDTF">2021-04-23T13:32:00Z</dcterms:modified>
</cp:coreProperties>
</file>