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81"/>
        <w:gridCol w:w="8069"/>
      </w:tblGrid>
      <w:tr w:rsidR="00D121F5" w:rsidRPr="009A520A" w14:paraId="061E9324" w14:textId="77777777" w:rsidTr="006A4779">
        <w:trPr>
          <w:cantSplit/>
          <w:trHeight w:val="20"/>
          <w:jc w:val="center"/>
        </w:trPr>
        <w:tc>
          <w:tcPr>
            <w:tcW w:w="5000" w:type="pct"/>
            <w:gridSpan w:val="2"/>
            <w:shd w:val="clear" w:color="auto" w:fill="D9D9D9"/>
          </w:tcPr>
          <w:p w14:paraId="528CFEFA" w14:textId="77777777" w:rsidR="00D121F5" w:rsidRPr="009A520A" w:rsidRDefault="00D121F5" w:rsidP="00D121F5">
            <w:pPr>
              <w:spacing w:line="276" w:lineRule="auto"/>
              <w:ind w:left="2410" w:hanging="2410"/>
              <w:jc w:val="left"/>
              <w:rPr>
                <w:rFonts w:eastAsia="Calibri"/>
                <w:b/>
                <w:szCs w:val="22"/>
              </w:rPr>
            </w:pPr>
            <w:bookmarkStart w:id="0" w:name="_GoBack"/>
            <w:bookmarkEnd w:id="0"/>
            <w:r w:rsidRPr="009A520A">
              <w:rPr>
                <w:rFonts w:eastAsia="Calibri"/>
                <w:b/>
                <w:szCs w:val="22"/>
              </w:rPr>
              <w:t>Activity Title:</w:t>
            </w:r>
            <w:r>
              <w:rPr>
                <w:rFonts w:eastAsia="Calibri"/>
                <w:b/>
                <w:szCs w:val="22"/>
              </w:rPr>
              <w:t xml:space="preserve">  Study on d</w:t>
            </w:r>
            <w:r w:rsidRPr="00EA4E60">
              <w:rPr>
                <w:rFonts w:eastAsia="Calibri"/>
                <w:b/>
                <w:szCs w:val="22"/>
              </w:rPr>
              <w:t>evelopin</w:t>
            </w:r>
            <w:r>
              <w:rPr>
                <w:rFonts w:eastAsia="Calibri"/>
                <w:b/>
                <w:szCs w:val="22"/>
              </w:rPr>
              <w:t xml:space="preserve">g guidance on risk-based border </w:t>
            </w:r>
            <w:r w:rsidRPr="00EA4E60">
              <w:rPr>
                <w:rFonts w:eastAsia="Calibri"/>
                <w:b/>
                <w:szCs w:val="22"/>
              </w:rPr>
              <w:t>management</w:t>
            </w:r>
            <w:r w:rsidRPr="009A520A">
              <w:rPr>
                <w:rFonts w:eastAsia="Calibri"/>
                <w:b/>
                <w:szCs w:val="22"/>
              </w:rPr>
              <w:tab/>
            </w:r>
            <w:r>
              <w:rPr>
                <w:rFonts w:eastAsia="Calibri"/>
                <w:b/>
                <w:szCs w:val="22"/>
              </w:rPr>
              <w:t xml:space="preserve">        </w:t>
            </w:r>
          </w:p>
        </w:tc>
      </w:tr>
      <w:tr w:rsidR="009A511C" w:rsidRPr="009A520A" w14:paraId="2F3D2BB5" w14:textId="77777777" w:rsidTr="006A4779">
        <w:trPr>
          <w:cantSplit/>
          <w:trHeight w:val="20"/>
          <w:jc w:val="center"/>
        </w:trPr>
        <w:tc>
          <w:tcPr>
            <w:tcW w:w="5000" w:type="pct"/>
            <w:gridSpan w:val="2"/>
          </w:tcPr>
          <w:p w14:paraId="5DFF8925" w14:textId="421365B9" w:rsidR="009A511C" w:rsidRPr="009A520A" w:rsidRDefault="009A511C" w:rsidP="006A4779">
            <w:pPr>
              <w:spacing w:line="276" w:lineRule="auto"/>
              <w:ind w:left="2410" w:hanging="2410"/>
              <w:jc w:val="left"/>
              <w:rPr>
                <w:rFonts w:eastAsia="Calibri"/>
                <w:szCs w:val="22"/>
              </w:rPr>
            </w:pPr>
            <w:r w:rsidRPr="009A520A">
              <w:rPr>
                <w:rFonts w:eastAsia="Calibri"/>
                <w:b/>
                <w:szCs w:val="22"/>
              </w:rPr>
              <w:t xml:space="preserve">Name of the IPPC </w:t>
            </w:r>
            <w:r w:rsidR="00D121F5">
              <w:rPr>
                <w:rFonts w:eastAsia="Calibri"/>
                <w:b/>
                <w:szCs w:val="22"/>
              </w:rPr>
              <w:t>b</w:t>
            </w:r>
            <w:r w:rsidRPr="009A520A">
              <w:rPr>
                <w:rFonts w:eastAsia="Calibri"/>
                <w:b/>
                <w:szCs w:val="22"/>
              </w:rPr>
              <w:t>ody</w:t>
            </w:r>
            <w:r w:rsidRPr="009A520A">
              <w:rPr>
                <w:rFonts w:eastAsia="Calibri"/>
                <w:szCs w:val="22"/>
              </w:rPr>
              <w:t xml:space="preserve"> </w:t>
            </w:r>
            <w:r w:rsidR="00EA4E60" w:rsidRPr="00D121F5">
              <w:rPr>
                <w:rFonts w:eastAsia="Calibri"/>
                <w:b/>
                <w:szCs w:val="22"/>
              </w:rPr>
              <w:t>submitting the proposal:</w:t>
            </w:r>
            <w:r w:rsidR="00EA4E60">
              <w:rPr>
                <w:rFonts w:eastAsia="Calibri"/>
                <w:szCs w:val="22"/>
              </w:rPr>
              <w:t xml:space="preserve"> </w:t>
            </w:r>
            <w:r w:rsidRPr="004E4683">
              <w:rPr>
                <w:rFonts w:ascii="Segoe UI Symbol" w:eastAsia="Calibri" w:hAnsi="Segoe UI Symbol" w:cs="Segoe UI Symbol"/>
                <w:szCs w:val="22"/>
              </w:rPr>
              <w:t>☐</w:t>
            </w:r>
            <w:r>
              <w:rPr>
                <w:rFonts w:ascii="Segoe UI Symbol" w:eastAsia="Calibri" w:hAnsi="Segoe UI Symbol" w:cs="Segoe UI Symbol"/>
                <w:szCs w:val="22"/>
              </w:rPr>
              <w:t xml:space="preserve"> </w:t>
            </w:r>
            <w:r>
              <w:rPr>
                <w:rFonts w:eastAsia="Calibri"/>
                <w:szCs w:val="22"/>
              </w:rPr>
              <w:t>Bureau</w:t>
            </w:r>
            <w:r w:rsidR="00EA4E60">
              <w:rPr>
                <w:rFonts w:eastAsia="Calibri"/>
                <w:szCs w:val="22"/>
              </w:rPr>
              <w:t xml:space="preserve"> </w:t>
            </w:r>
            <w:r w:rsidR="00EA4E60" w:rsidRPr="00D63E9D">
              <w:rPr>
                <w:rFonts w:ascii="Segoe UI Symbol" w:eastAsia="Calibri" w:hAnsi="Segoe UI Symbol" w:cs="Segoe UI Symbol"/>
                <w:szCs w:val="22"/>
              </w:rPr>
              <w:t>x</w:t>
            </w:r>
            <w:r w:rsidRPr="00D63E9D">
              <w:rPr>
                <w:rFonts w:ascii="Segoe UI Symbol" w:eastAsia="Calibri" w:hAnsi="Segoe UI Symbol" w:cs="Segoe UI Symbol"/>
                <w:szCs w:val="22"/>
              </w:rPr>
              <w:t xml:space="preserve"> </w:t>
            </w:r>
            <w:r w:rsidRPr="00D63E9D">
              <w:rPr>
                <w:rFonts w:eastAsia="Calibri"/>
                <w:szCs w:val="22"/>
              </w:rPr>
              <w:t>RPPO</w:t>
            </w:r>
            <w:r w:rsidR="00EA4E60">
              <w:rPr>
                <w:rFonts w:eastAsia="Calibri"/>
                <w:szCs w:val="22"/>
              </w:rPr>
              <w:t xml:space="preserve"> </w:t>
            </w:r>
            <w:r w:rsidRPr="004E4683">
              <w:rPr>
                <w:rFonts w:ascii="Segoe UI Symbol" w:eastAsia="Calibri" w:hAnsi="Segoe UI Symbol" w:cs="Segoe UI Symbol"/>
                <w:szCs w:val="22"/>
              </w:rPr>
              <w:t>☐</w:t>
            </w:r>
            <w:r>
              <w:rPr>
                <w:rFonts w:ascii="Segoe UI Symbol" w:eastAsia="Calibri" w:hAnsi="Segoe UI Symbol" w:cs="Segoe UI Symbol"/>
                <w:szCs w:val="22"/>
              </w:rPr>
              <w:t xml:space="preserve"> </w:t>
            </w:r>
            <w:r>
              <w:rPr>
                <w:rFonts w:eastAsia="Calibri"/>
                <w:szCs w:val="22"/>
              </w:rPr>
              <w:t>SC</w:t>
            </w:r>
            <w:r w:rsidR="00EA4E60">
              <w:rPr>
                <w:rFonts w:eastAsia="Calibri"/>
                <w:szCs w:val="22"/>
              </w:rPr>
              <w:t xml:space="preserve"> </w:t>
            </w:r>
            <w:r w:rsidRPr="004E4683">
              <w:rPr>
                <w:rFonts w:ascii="Segoe UI Symbol" w:eastAsia="Calibri" w:hAnsi="Segoe UI Symbol" w:cs="Segoe UI Symbol"/>
                <w:szCs w:val="22"/>
              </w:rPr>
              <w:t>☐</w:t>
            </w:r>
            <w:r>
              <w:rPr>
                <w:rFonts w:ascii="Segoe UI Symbol" w:eastAsia="Calibri" w:hAnsi="Segoe UI Symbol" w:cs="Segoe UI Symbol"/>
                <w:szCs w:val="22"/>
              </w:rPr>
              <w:t xml:space="preserve"> </w:t>
            </w:r>
            <w:r>
              <w:rPr>
                <w:rFonts w:eastAsia="Calibri"/>
                <w:szCs w:val="22"/>
              </w:rPr>
              <w:t xml:space="preserve">IC </w:t>
            </w:r>
            <w:r w:rsidRPr="004E4683">
              <w:rPr>
                <w:rFonts w:ascii="Segoe UI Symbol" w:eastAsia="Calibri" w:hAnsi="Segoe UI Symbol" w:cs="Segoe UI Symbol"/>
                <w:szCs w:val="22"/>
              </w:rPr>
              <w:t>☐</w:t>
            </w:r>
            <w:r>
              <w:rPr>
                <w:rFonts w:ascii="Segoe UI Symbol" w:eastAsia="Calibri" w:hAnsi="Segoe UI Symbol" w:cs="Segoe UI Symbol"/>
                <w:szCs w:val="22"/>
              </w:rPr>
              <w:t xml:space="preserve"> </w:t>
            </w:r>
            <w:r>
              <w:rPr>
                <w:rFonts w:eastAsia="Calibri"/>
                <w:szCs w:val="22"/>
              </w:rPr>
              <w:t>IPPC Sec</w:t>
            </w:r>
            <w:r w:rsidR="00D121F5">
              <w:rPr>
                <w:rFonts w:eastAsia="Calibri"/>
                <w:szCs w:val="22"/>
              </w:rPr>
              <w:t>.</w:t>
            </w:r>
            <w:r>
              <w:rPr>
                <w:rFonts w:eastAsia="Calibri"/>
                <w:szCs w:val="22"/>
              </w:rPr>
              <w:t xml:space="preserve"> </w:t>
            </w:r>
          </w:p>
        </w:tc>
      </w:tr>
      <w:tr w:rsidR="006A4779" w:rsidRPr="009A520A" w14:paraId="3803C354" w14:textId="77777777" w:rsidTr="006A4779">
        <w:trPr>
          <w:cantSplit/>
          <w:trHeight w:val="20"/>
          <w:jc w:val="center"/>
        </w:trPr>
        <w:tc>
          <w:tcPr>
            <w:tcW w:w="5000" w:type="pct"/>
            <w:gridSpan w:val="2"/>
          </w:tcPr>
          <w:p w14:paraId="58C27B5F" w14:textId="77777777" w:rsidR="006A4779" w:rsidRPr="006A4779" w:rsidRDefault="006A4779" w:rsidP="006A4779">
            <w:pPr>
              <w:spacing w:line="276" w:lineRule="auto"/>
              <w:ind w:left="2410" w:hanging="2410"/>
              <w:jc w:val="left"/>
              <w:rPr>
                <w:rFonts w:eastAsia="Calibri"/>
                <w:szCs w:val="22"/>
              </w:rPr>
            </w:pPr>
            <w:r w:rsidRPr="009A520A">
              <w:rPr>
                <w:rFonts w:eastAsia="Calibri"/>
                <w:b/>
                <w:szCs w:val="22"/>
              </w:rPr>
              <w:t>Contact Information:</w:t>
            </w:r>
            <w:r>
              <w:rPr>
                <w:rFonts w:eastAsia="Calibri"/>
                <w:szCs w:val="22"/>
              </w:rPr>
              <w:t xml:space="preserve">   </w:t>
            </w:r>
            <w:r w:rsidRPr="00EA4E60">
              <w:rPr>
                <w:rFonts w:eastAsia="Calibri"/>
                <w:szCs w:val="22"/>
              </w:rPr>
              <w:t>Stephanie BLOEM</w:t>
            </w:r>
            <w:r>
              <w:rPr>
                <w:rFonts w:eastAsia="Calibri"/>
                <w:szCs w:val="22"/>
              </w:rPr>
              <w:t xml:space="preserve"> (NAPPO), IC member</w:t>
            </w:r>
            <w:r w:rsidRPr="009A520A">
              <w:rPr>
                <w:rFonts w:eastAsia="Calibri"/>
                <w:szCs w:val="22"/>
              </w:rPr>
              <w:t xml:space="preserve">      </w:t>
            </w:r>
          </w:p>
        </w:tc>
      </w:tr>
      <w:tr w:rsidR="006A4779" w:rsidRPr="009A520A" w14:paraId="7836C77D" w14:textId="77777777" w:rsidTr="006A4779">
        <w:trPr>
          <w:cantSplit/>
          <w:trHeight w:val="20"/>
          <w:jc w:val="center"/>
        </w:trPr>
        <w:tc>
          <w:tcPr>
            <w:tcW w:w="5000" w:type="pct"/>
            <w:gridSpan w:val="2"/>
          </w:tcPr>
          <w:p w14:paraId="036942DD" w14:textId="77777777" w:rsidR="006A4779" w:rsidRPr="00EA4E60" w:rsidRDefault="006A4779" w:rsidP="00D121F5">
            <w:pPr>
              <w:jc w:val="left"/>
              <w:rPr>
                <w:rFonts w:eastAsia="Calibri"/>
                <w:b/>
                <w:szCs w:val="22"/>
              </w:rPr>
            </w:pPr>
            <w:r>
              <w:rPr>
                <w:rFonts w:eastAsia="Calibri"/>
                <w:b/>
                <w:szCs w:val="22"/>
              </w:rPr>
              <w:t xml:space="preserve">Key project collaborators: </w:t>
            </w:r>
            <w:r>
              <w:rPr>
                <w:rFonts w:eastAsia="Calibri"/>
                <w:szCs w:val="22"/>
              </w:rPr>
              <w:t>Shane SELA (WBG)</w:t>
            </w:r>
          </w:p>
        </w:tc>
      </w:tr>
      <w:tr w:rsidR="009A511C" w:rsidRPr="009A520A" w14:paraId="4BCB3711" w14:textId="77777777" w:rsidTr="006A4779">
        <w:trPr>
          <w:cantSplit/>
          <w:trHeight w:val="20"/>
          <w:jc w:val="center"/>
        </w:trPr>
        <w:tc>
          <w:tcPr>
            <w:tcW w:w="5000" w:type="pct"/>
            <w:gridSpan w:val="2"/>
          </w:tcPr>
          <w:p w14:paraId="688FF0E2" w14:textId="77777777" w:rsidR="00D121F5" w:rsidRPr="00FB04BE" w:rsidRDefault="00EA4E60" w:rsidP="00D121F5">
            <w:pPr>
              <w:jc w:val="left"/>
              <w:rPr>
                <w:u w:val="single"/>
              </w:rPr>
            </w:pPr>
            <w:r w:rsidRPr="00EA4E60">
              <w:rPr>
                <w:rFonts w:eastAsia="Calibri"/>
                <w:b/>
                <w:szCs w:val="22"/>
              </w:rPr>
              <w:t>Background:</w:t>
            </w:r>
          </w:p>
          <w:p w14:paraId="1BC96C20" w14:textId="25A009AB" w:rsidR="003775C3" w:rsidRPr="003775C3" w:rsidRDefault="003775C3" w:rsidP="003775C3">
            <w:pPr>
              <w:rPr>
                <w:rFonts w:cstheme="minorHAnsi"/>
                <w:szCs w:val="22"/>
                <w:lang w:val="en-US"/>
              </w:rPr>
            </w:pPr>
            <w:r w:rsidRPr="003775C3">
              <w:rPr>
                <w:rFonts w:cstheme="minorHAnsi"/>
                <w:szCs w:val="22"/>
                <w:lang w:val="en-US"/>
              </w:rPr>
              <w:t>The Glossary of Phytosanitary Measures defines a national plant protection organization (NPPO) as the “official service established by a government to discharge the functions specified by the International Plant Protection Convention (IPPC)”. These functions encompass all actions needed to protect the plant resources of a country from the introduction and/or spread of plant pests. In addition to the roles stated in the IPPC text, NPPOs are encouraged to align their phytosanitary measures with adopted international standards for phytosanitary measures (ISPMs). This alignment promotes harmonization of phytosanitary measures and is a central element of both the IPPC and the World Trade Organization Agreement on the Application of Sanitary and Phytosanitary Measures (the SPS Agreement).</w:t>
            </w:r>
          </w:p>
          <w:p w14:paraId="079FA63D" w14:textId="77777777" w:rsidR="003775C3" w:rsidRPr="00ED4DBA" w:rsidRDefault="003775C3" w:rsidP="003775C3">
            <w:pPr>
              <w:rPr>
                <w:rFonts w:cstheme="minorHAnsi"/>
                <w:sz w:val="24"/>
                <w:lang w:val="en-US"/>
              </w:rPr>
            </w:pPr>
          </w:p>
          <w:p w14:paraId="1945CB96" w14:textId="12B91FB8" w:rsidR="003775C3" w:rsidRPr="003775C3" w:rsidRDefault="003775C3" w:rsidP="003775C3">
            <w:pPr>
              <w:pStyle w:val="Default"/>
              <w:jc w:val="both"/>
              <w:rPr>
                <w:rFonts w:ascii="Times New Roman" w:hAnsi="Times New Roman" w:cs="Times New Roman"/>
                <w:sz w:val="22"/>
                <w:szCs w:val="22"/>
              </w:rPr>
            </w:pPr>
            <w:r w:rsidRPr="003775C3">
              <w:rPr>
                <w:rFonts w:ascii="Times New Roman" w:hAnsi="Times New Roman" w:cs="Times New Roman"/>
                <w:sz w:val="22"/>
                <w:szCs w:val="22"/>
              </w:rPr>
              <w:t xml:space="preserve">According to the IPPC, inspection of consignments of plants and other regulated articles moving in international trade and, where appropriate, inspection of other regulated articles to prevent the introduction and/or spread of pests is an NPPO function. Inspection is the most widely used phytosanitary measure, is supported by two specific ISPMs and is mentioned in many other adopted ISPMs. </w:t>
            </w:r>
          </w:p>
          <w:p w14:paraId="63029A1A" w14:textId="77777777" w:rsidR="003775C3" w:rsidRPr="00ED4DBA" w:rsidRDefault="003775C3" w:rsidP="003775C3">
            <w:pPr>
              <w:pStyle w:val="Default"/>
              <w:jc w:val="both"/>
              <w:rPr>
                <w:rFonts w:asciiTheme="minorHAnsi" w:hAnsiTheme="minorHAnsi" w:cstheme="minorHAnsi"/>
                <w:szCs w:val="22"/>
              </w:rPr>
            </w:pPr>
          </w:p>
          <w:p w14:paraId="4053D6C0" w14:textId="77777777" w:rsidR="003775C3" w:rsidRPr="003775C3" w:rsidRDefault="003775C3" w:rsidP="003775C3">
            <w:pPr>
              <w:autoSpaceDE w:val="0"/>
              <w:autoSpaceDN w:val="0"/>
              <w:adjustRightInd w:val="0"/>
              <w:rPr>
                <w:rFonts w:cstheme="minorHAnsi"/>
                <w:szCs w:val="22"/>
                <w:lang w:val="en-US"/>
              </w:rPr>
            </w:pPr>
            <w:r w:rsidRPr="003775C3">
              <w:rPr>
                <w:rFonts w:cstheme="minorHAnsi"/>
                <w:szCs w:val="22"/>
                <w:lang w:val="en-US"/>
              </w:rPr>
              <w:t>ISPMs 23 and 31 tell us that inspection …</w:t>
            </w:r>
          </w:p>
          <w:p w14:paraId="6B625D10" w14:textId="77777777" w:rsidR="003775C3" w:rsidRPr="003775C3" w:rsidRDefault="003775C3" w:rsidP="003775C3">
            <w:pPr>
              <w:pStyle w:val="ListParagraph"/>
              <w:numPr>
                <w:ilvl w:val="0"/>
                <w:numId w:val="3"/>
              </w:numPr>
              <w:autoSpaceDE w:val="0"/>
              <w:autoSpaceDN w:val="0"/>
              <w:adjustRightInd w:val="0"/>
              <w:rPr>
                <w:rFonts w:cstheme="minorHAnsi"/>
                <w:szCs w:val="22"/>
              </w:rPr>
            </w:pPr>
            <w:r w:rsidRPr="003775C3">
              <w:rPr>
                <w:rFonts w:cstheme="minorHAnsi"/>
                <w:szCs w:val="22"/>
                <w:lang w:val="en-CA"/>
              </w:rPr>
              <w:t>is a (phytosanitary) risk management procedure</w:t>
            </w:r>
          </w:p>
          <w:p w14:paraId="37991C6F" w14:textId="77777777" w:rsidR="003775C3" w:rsidRPr="003775C3" w:rsidRDefault="003775C3" w:rsidP="003775C3">
            <w:pPr>
              <w:pStyle w:val="ListParagraph"/>
              <w:numPr>
                <w:ilvl w:val="0"/>
                <w:numId w:val="3"/>
              </w:numPr>
              <w:autoSpaceDE w:val="0"/>
              <w:autoSpaceDN w:val="0"/>
              <w:adjustRightInd w:val="0"/>
              <w:rPr>
                <w:rFonts w:cstheme="minorHAnsi"/>
                <w:szCs w:val="22"/>
              </w:rPr>
            </w:pPr>
            <w:r w:rsidRPr="003775C3">
              <w:rPr>
                <w:rFonts w:cstheme="minorHAnsi"/>
                <w:szCs w:val="22"/>
                <w:lang w:val="en-CA"/>
              </w:rPr>
              <w:t>should be technically justified and fairly applied in the same way as other phytosanitary measures</w:t>
            </w:r>
          </w:p>
          <w:p w14:paraId="07E49E47" w14:textId="77777777" w:rsidR="003775C3" w:rsidRPr="003775C3" w:rsidRDefault="003775C3" w:rsidP="003775C3">
            <w:pPr>
              <w:pStyle w:val="ListParagraph"/>
              <w:numPr>
                <w:ilvl w:val="0"/>
                <w:numId w:val="3"/>
              </w:numPr>
              <w:autoSpaceDE w:val="0"/>
              <w:autoSpaceDN w:val="0"/>
              <w:adjustRightInd w:val="0"/>
              <w:rPr>
                <w:rFonts w:cstheme="minorHAnsi"/>
                <w:szCs w:val="22"/>
              </w:rPr>
            </w:pPr>
            <w:r w:rsidRPr="003775C3">
              <w:rPr>
                <w:rFonts w:cstheme="minorHAnsi"/>
                <w:szCs w:val="22"/>
              </w:rPr>
              <w:t xml:space="preserve">is sampling and, as such, should consider sampling concepts; </w:t>
            </w:r>
          </w:p>
          <w:p w14:paraId="6898B600" w14:textId="77777777" w:rsidR="003775C3" w:rsidRPr="003775C3" w:rsidRDefault="003775C3" w:rsidP="003775C3">
            <w:pPr>
              <w:pStyle w:val="ListParagraph"/>
              <w:numPr>
                <w:ilvl w:val="0"/>
                <w:numId w:val="3"/>
              </w:numPr>
              <w:autoSpaceDE w:val="0"/>
              <w:autoSpaceDN w:val="0"/>
              <w:adjustRightInd w:val="0"/>
              <w:rPr>
                <w:rFonts w:cstheme="minorHAnsi"/>
                <w:szCs w:val="22"/>
              </w:rPr>
            </w:pPr>
            <w:r w:rsidRPr="003775C3">
              <w:rPr>
                <w:rFonts w:cstheme="minorHAnsi"/>
                <w:szCs w:val="22"/>
              </w:rPr>
              <w:t xml:space="preserve">can have a deliberate design – statistical or non-statistical </w:t>
            </w:r>
          </w:p>
          <w:p w14:paraId="458AFE48" w14:textId="77777777" w:rsidR="003775C3" w:rsidRPr="003775C3" w:rsidRDefault="003775C3" w:rsidP="003775C3">
            <w:pPr>
              <w:pStyle w:val="ListParagraph"/>
              <w:numPr>
                <w:ilvl w:val="0"/>
                <w:numId w:val="3"/>
              </w:numPr>
              <w:autoSpaceDE w:val="0"/>
              <w:autoSpaceDN w:val="0"/>
              <w:adjustRightInd w:val="0"/>
              <w:rPr>
                <w:rFonts w:cstheme="minorHAnsi"/>
                <w:szCs w:val="22"/>
              </w:rPr>
            </w:pPr>
            <w:r w:rsidRPr="003775C3">
              <w:rPr>
                <w:rFonts w:cstheme="minorHAnsi"/>
                <w:szCs w:val="22"/>
              </w:rPr>
              <w:t>data derived from well-designed schemes is a key source of information for risk analysis and resource management (including inspection personnel and budgets to fund this activity).</w:t>
            </w:r>
          </w:p>
          <w:p w14:paraId="18E88E59" w14:textId="77777777" w:rsidR="003775C3" w:rsidRDefault="003775C3" w:rsidP="00D121F5">
            <w:pPr>
              <w:jc w:val="left"/>
            </w:pPr>
          </w:p>
          <w:p w14:paraId="7518EC49" w14:textId="4917F7A3" w:rsidR="00D121F5" w:rsidRDefault="00D121F5" w:rsidP="00D121F5">
            <w:pPr>
              <w:jc w:val="left"/>
            </w:pPr>
            <w:r>
              <w:t xml:space="preserve">Maximizing resources in a manner that best manages </w:t>
            </w:r>
            <w:r w:rsidR="00D63E9D">
              <w:t xml:space="preserve">plant health risks </w:t>
            </w:r>
            <w:r>
              <w:t xml:space="preserve">is a priority for many national plant protection organizations (NPPOs). A lack of harmonized guidance on best practices for border management of </w:t>
            </w:r>
            <w:r w:rsidR="00D63E9D">
              <w:t>plant and plant products</w:t>
            </w:r>
            <w:r>
              <w:t xml:space="preserve"> </w:t>
            </w:r>
            <w:r w:rsidR="00D63E9D">
              <w:t xml:space="preserve">moving in trade </w:t>
            </w:r>
            <w:r>
              <w:t xml:space="preserve">that </w:t>
            </w:r>
            <w:r w:rsidR="00D63E9D">
              <w:t xml:space="preserve">optimizes </w:t>
            </w:r>
            <w:r>
              <w:t xml:space="preserve">risk mitigation and facilitates the movement of </w:t>
            </w:r>
            <w:r w:rsidR="005701CC">
              <w:t xml:space="preserve">low risk </w:t>
            </w:r>
            <w:r>
              <w:t>compliant trade would benefit NPPOs.</w:t>
            </w:r>
          </w:p>
          <w:p w14:paraId="582D92B8" w14:textId="77777777" w:rsidR="00D121F5" w:rsidRDefault="00D121F5" w:rsidP="00D121F5">
            <w:pPr>
              <w:jc w:val="left"/>
            </w:pPr>
          </w:p>
          <w:p w14:paraId="676293C1" w14:textId="2C107FF1" w:rsidR="009A511C" w:rsidRPr="00D121F5" w:rsidRDefault="00D121F5" w:rsidP="00D121F5">
            <w:pPr>
              <w:jc w:val="left"/>
            </w:pPr>
            <w:r>
              <w:t xml:space="preserve">The movement of fall armyworm </w:t>
            </w:r>
            <w:r w:rsidR="00D63E9D">
              <w:t>(</w:t>
            </w:r>
            <w:proofErr w:type="spellStart"/>
            <w:r w:rsidR="00D63E9D" w:rsidRPr="00D63E9D">
              <w:rPr>
                <w:i/>
                <w:iCs/>
              </w:rPr>
              <w:t>Spodoptera</w:t>
            </w:r>
            <w:proofErr w:type="spellEnd"/>
            <w:r w:rsidR="00D63E9D" w:rsidRPr="00D63E9D">
              <w:rPr>
                <w:i/>
                <w:iCs/>
              </w:rPr>
              <w:t xml:space="preserve"> </w:t>
            </w:r>
            <w:proofErr w:type="spellStart"/>
            <w:r w:rsidR="00D63E9D" w:rsidRPr="00D63E9D">
              <w:rPr>
                <w:i/>
                <w:iCs/>
              </w:rPr>
              <w:t>frugiperda</w:t>
            </w:r>
            <w:proofErr w:type="spellEnd"/>
            <w:r w:rsidR="00D63E9D">
              <w:t xml:space="preserve">) </w:t>
            </w:r>
            <w:r>
              <w:t xml:space="preserve">with </w:t>
            </w:r>
            <w:r w:rsidR="00D63E9D">
              <w:t xml:space="preserve">infested </w:t>
            </w:r>
            <w:r>
              <w:t xml:space="preserve">plant shipments is likely a significant factor in the rapid spread of </w:t>
            </w:r>
            <w:r w:rsidR="00D63E9D">
              <w:t xml:space="preserve">this </w:t>
            </w:r>
            <w:r>
              <w:t xml:space="preserve">pest. </w:t>
            </w:r>
            <w:r w:rsidR="00D63E9D">
              <w:t xml:space="preserve">The </w:t>
            </w:r>
            <w:r>
              <w:t xml:space="preserve">spread occurred even though many </w:t>
            </w:r>
            <w:r w:rsidR="00D63E9D">
              <w:t>NPPOs</w:t>
            </w:r>
            <w:r>
              <w:t xml:space="preserve"> have </w:t>
            </w:r>
            <w:r w:rsidR="00D63E9D">
              <w:t>import requirements in order</w:t>
            </w:r>
            <w:r>
              <w:t xml:space="preserve"> to </w:t>
            </w:r>
            <w:r w:rsidR="00D63E9D">
              <w:t>manage the entry and establishment of quarantine pests</w:t>
            </w:r>
            <w:r>
              <w:t xml:space="preserve">. </w:t>
            </w:r>
            <w:r w:rsidR="00D63E9D">
              <w:t>I</w:t>
            </w:r>
            <w:r>
              <w:t xml:space="preserve">n some cases, regulatory procedures </w:t>
            </w:r>
            <w:r w:rsidR="00D63E9D">
              <w:t xml:space="preserve">at border points </w:t>
            </w:r>
            <w:r>
              <w:t xml:space="preserve">use a standardized approach to managing pest risks primarily through </w:t>
            </w:r>
            <w:r w:rsidR="00D63E9D">
              <w:t xml:space="preserve">visual </w:t>
            </w:r>
            <w:r>
              <w:t>inspection</w:t>
            </w:r>
            <w:r w:rsidR="00D63E9D">
              <w:t>s</w:t>
            </w:r>
            <w:r>
              <w:t xml:space="preserve"> </w:t>
            </w:r>
            <w:r w:rsidR="00D63E9D">
              <w:t xml:space="preserve">performed </w:t>
            </w:r>
            <w:r>
              <w:t>at port</w:t>
            </w:r>
            <w:r w:rsidR="00D63E9D">
              <w:t>s of entry</w:t>
            </w:r>
            <w:r>
              <w:t xml:space="preserve">. Although this may be </w:t>
            </w:r>
            <w:r w:rsidR="00D63E9D">
              <w:t xml:space="preserve">somewhat </w:t>
            </w:r>
            <w:r>
              <w:t xml:space="preserve">effective </w:t>
            </w:r>
            <w:r w:rsidR="00D63E9D">
              <w:t xml:space="preserve">at </w:t>
            </w:r>
            <w:r>
              <w:t xml:space="preserve">managing some pest risks others may be better managed through a more prioritized, targeted approach to border activities which </w:t>
            </w:r>
            <w:r w:rsidR="00D63E9D">
              <w:t xml:space="preserve">would not only </w:t>
            </w:r>
            <w:r>
              <w:t xml:space="preserve">facilitate </w:t>
            </w:r>
            <w:r w:rsidR="00D63E9D">
              <w:t xml:space="preserve">safe </w:t>
            </w:r>
            <w:r>
              <w:t xml:space="preserve">trade </w:t>
            </w:r>
            <w:r w:rsidR="00D63E9D">
              <w:t>but also increase the effectiveness of risk management</w:t>
            </w:r>
            <w:r>
              <w:t xml:space="preserve">. Factors such as </w:t>
            </w:r>
            <w:r w:rsidR="005701CC">
              <w:t xml:space="preserve">import </w:t>
            </w:r>
            <w:r>
              <w:t xml:space="preserve">compliance information, prioritization or ranking of the risk </w:t>
            </w:r>
            <w:r w:rsidR="0011302E">
              <w:t>of different plant and plant products</w:t>
            </w:r>
            <w:r w:rsidR="005701CC">
              <w:t xml:space="preserve"> and their countries of origin</w:t>
            </w:r>
            <w:r>
              <w:t xml:space="preserve">, surveillance and screening, identification of alternative approaches to border inspections </w:t>
            </w:r>
            <w:r w:rsidR="0011302E">
              <w:t xml:space="preserve">could </w:t>
            </w:r>
            <w:r>
              <w:t xml:space="preserve">all be used to </w:t>
            </w:r>
            <w:r w:rsidR="0011302E">
              <w:t xml:space="preserve">improve </w:t>
            </w:r>
            <w:r>
              <w:t xml:space="preserve">risk management </w:t>
            </w:r>
            <w:r w:rsidR="0011302E">
              <w:t xml:space="preserve">while </w:t>
            </w:r>
            <w:r>
              <w:t>facilitat</w:t>
            </w:r>
            <w:r w:rsidR="0011302E">
              <w:t>ing</w:t>
            </w:r>
            <w:r>
              <w:t xml:space="preserve"> safe trade. </w:t>
            </w:r>
          </w:p>
        </w:tc>
      </w:tr>
      <w:tr w:rsidR="009A511C" w:rsidRPr="009A520A" w14:paraId="469E07BD" w14:textId="77777777" w:rsidTr="006A4779">
        <w:trPr>
          <w:cantSplit/>
          <w:trHeight w:val="231"/>
          <w:jc w:val="center"/>
        </w:trPr>
        <w:tc>
          <w:tcPr>
            <w:tcW w:w="684" w:type="pct"/>
          </w:tcPr>
          <w:p w14:paraId="4E0C6CDA" w14:textId="77777777" w:rsidR="009A511C" w:rsidRPr="00EA4E60" w:rsidRDefault="009A511C" w:rsidP="00D121F5">
            <w:pPr>
              <w:spacing w:after="200" w:line="276" w:lineRule="auto"/>
              <w:jc w:val="left"/>
              <w:rPr>
                <w:rFonts w:eastAsia="Calibri"/>
                <w:b/>
                <w:szCs w:val="22"/>
              </w:rPr>
            </w:pPr>
            <w:r w:rsidRPr="00EA4E60">
              <w:rPr>
                <w:rFonts w:eastAsia="Calibri"/>
                <w:b/>
                <w:szCs w:val="22"/>
              </w:rPr>
              <w:t>Priority</w:t>
            </w:r>
            <w:r w:rsidR="006A4779">
              <w:rPr>
                <w:rFonts w:eastAsia="Calibri"/>
                <w:b/>
                <w:szCs w:val="22"/>
              </w:rPr>
              <w:t>:</w:t>
            </w:r>
          </w:p>
        </w:tc>
        <w:tc>
          <w:tcPr>
            <w:tcW w:w="4316" w:type="pct"/>
          </w:tcPr>
          <w:p w14:paraId="4DB8D3B1" w14:textId="77777777" w:rsidR="009A511C" w:rsidRPr="009A520A" w:rsidRDefault="00EA4E60" w:rsidP="00D121F5">
            <w:pPr>
              <w:spacing w:after="200"/>
              <w:jc w:val="left"/>
              <w:rPr>
                <w:rFonts w:eastAsia="Times"/>
                <w:szCs w:val="22"/>
              </w:rPr>
            </w:pPr>
            <w:r>
              <w:rPr>
                <w:rFonts w:eastAsia="Times"/>
                <w:szCs w:val="22"/>
              </w:rPr>
              <w:t>1</w:t>
            </w:r>
          </w:p>
        </w:tc>
      </w:tr>
      <w:tr w:rsidR="009A511C" w:rsidRPr="009A520A" w14:paraId="59E600ED" w14:textId="77777777" w:rsidTr="006A4779">
        <w:trPr>
          <w:cantSplit/>
          <w:trHeight w:val="20"/>
          <w:jc w:val="center"/>
        </w:trPr>
        <w:tc>
          <w:tcPr>
            <w:tcW w:w="684" w:type="pct"/>
          </w:tcPr>
          <w:p w14:paraId="379BC0B7" w14:textId="77777777" w:rsidR="009A511C" w:rsidRPr="00EA4E60" w:rsidRDefault="00D121F5" w:rsidP="00D121F5">
            <w:pPr>
              <w:spacing w:after="200" w:line="276" w:lineRule="auto"/>
              <w:jc w:val="left"/>
              <w:rPr>
                <w:rFonts w:eastAsia="Calibri"/>
                <w:b/>
                <w:szCs w:val="22"/>
              </w:rPr>
            </w:pPr>
            <w:r>
              <w:rPr>
                <w:rFonts w:eastAsia="Calibri"/>
                <w:b/>
                <w:szCs w:val="22"/>
              </w:rPr>
              <w:t>Scope</w:t>
            </w:r>
            <w:r w:rsidR="006A4779">
              <w:rPr>
                <w:rFonts w:eastAsia="Calibri"/>
                <w:b/>
                <w:szCs w:val="22"/>
              </w:rPr>
              <w:t>:</w:t>
            </w:r>
          </w:p>
        </w:tc>
        <w:tc>
          <w:tcPr>
            <w:tcW w:w="4316" w:type="pct"/>
          </w:tcPr>
          <w:p w14:paraId="6D3D0B43" w14:textId="59B8E142" w:rsidR="009A511C" w:rsidRPr="009A520A" w:rsidRDefault="006A4779" w:rsidP="00D121F5">
            <w:pPr>
              <w:jc w:val="left"/>
              <w:rPr>
                <w:rFonts w:eastAsia="Times"/>
                <w:szCs w:val="22"/>
              </w:rPr>
            </w:pPr>
            <w:r>
              <w:rPr>
                <w:rFonts w:eastAsia="Times"/>
                <w:szCs w:val="22"/>
              </w:rPr>
              <w:t xml:space="preserve">To </w:t>
            </w:r>
            <w:r w:rsidR="0011302E">
              <w:rPr>
                <w:rFonts w:eastAsia="Times"/>
                <w:szCs w:val="22"/>
              </w:rPr>
              <w:t>evaluate</w:t>
            </w:r>
            <w:r>
              <w:rPr>
                <w:rFonts w:eastAsia="Times"/>
                <w:szCs w:val="22"/>
              </w:rPr>
              <w:t xml:space="preserve"> the </w:t>
            </w:r>
            <w:r w:rsidR="0011302E">
              <w:rPr>
                <w:rFonts w:eastAsia="Times"/>
                <w:szCs w:val="22"/>
              </w:rPr>
              <w:t xml:space="preserve">practical applications </w:t>
            </w:r>
            <w:r>
              <w:rPr>
                <w:rFonts w:eastAsia="Times"/>
                <w:szCs w:val="22"/>
              </w:rPr>
              <w:t>of risk</w:t>
            </w:r>
            <w:r w:rsidR="0011302E">
              <w:rPr>
                <w:rFonts w:eastAsia="Times"/>
                <w:szCs w:val="22"/>
              </w:rPr>
              <w:t>-</w:t>
            </w:r>
            <w:r>
              <w:rPr>
                <w:rFonts w:eastAsia="Times"/>
                <w:szCs w:val="22"/>
              </w:rPr>
              <w:t>based phytosanitary inspections by NPPOs.</w:t>
            </w:r>
          </w:p>
        </w:tc>
      </w:tr>
      <w:tr w:rsidR="009A511C" w:rsidRPr="009A520A" w14:paraId="3568FBFF" w14:textId="77777777" w:rsidTr="006A4779">
        <w:trPr>
          <w:cantSplit/>
          <w:trHeight w:val="20"/>
          <w:jc w:val="center"/>
        </w:trPr>
        <w:tc>
          <w:tcPr>
            <w:tcW w:w="684" w:type="pct"/>
          </w:tcPr>
          <w:p w14:paraId="67BE5A0A" w14:textId="77777777" w:rsidR="009A511C" w:rsidRPr="00EA4E60" w:rsidRDefault="009A511C" w:rsidP="00D121F5">
            <w:pPr>
              <w:spacing w:after="200" w:line="276" w:lineRule="auto"/>
              <w:jc w:val="left"/>
              <w:rPr>
                <w:rFonts w:eastAsia="Calibri"/>
                <w:b/>
                <w:szCs w:val="22"/>
              </w:rPr>
            </w:pPr>
            <w:r w:rsidRPr="00EA4E60">
              <w:rPr>
                <w:rFonts w:eastAsia="Calibri"/>
                <w:b/>
                <w:szCs w:val="22"/>
              </w:rPr>
              <w:lastRenderedPageBreak/>
              <w:t>Link to IPPC Strategic Objectives</w:t>
            </w:r>
            <w:r w:rsidR="006A4779">
              <w:rPr>
                <w:rFonts w:eastAsia="Calibri"/>
                <w:b/>
                <w:szCs w:val="22"/>
              </w:rPr>
              <w:t>:</w:t>
            </w:r>
            <w:r w:rsidRPr="00EA4E60">
              <w:rPr>
                <w:rFonts w:eastAsia="Calibri"/>
                <w:b/>
                <w:szCs w:val="22"/>
              </w:rPr>
              <w:t xml:space="preserve"> </w:t>
            </w:r>
          </w:p>
        </w:tc>
        <w:tc>
          <w:tcPr>
            <w:tcW w:w="4316" w:type="pct"/>
          </w:tcPr>
          <w:p w14:paraId="0C911896" w14:textId="5B2A6E6E" w:rsidR="009A511C" w:rsidRPr="009A520A" w:rsidRDefault="00025CC5" w:rsidP="00D121F5">
            <w:pPr>
              <w:spacing w:after="200"/>
              <w:jc w:val="left"/>
              <w:rPr>
                <w:rFonts w:eastAsia="Times"/>
                <w:szCs w:val="22"/>
              </w:rPr>
            </w:pPr>
            <w:r w:rsidRPr="00F178A4">
              <w:t xml:space="preserve">Facilitate </w:t>
            </w:r>
            <w:r>
              <w:t>s</w:t>
            </w:r>
            <w:r w:rsidRPr="00F178A4">
              <w:t xml:space="preserve">afe </w:t>
            </w:r>
            <w:r>
              <w:t>t</w:t>
            </w:r>
            <w:r w:rsidRPr="00F178A4">
              <w:t xml:space="preserve">rade, </w:t>
            </w:r>
            <w:r>
              <w:t>d</w:t>
            </w:r>
            <w:r w:rsidRPr="00F178A4">
              <w:t xml:space="preserve">evelopment and </w:t>
            </w:r>
            <w:r>
              <w:t>e</w:t>
            </w:r>
            <w:r w:rsidRPr="00F178A4">
              <w:t xml:space="preserve">conomic </w:t>
            </w:r>
            <w:r>
              <w:t>g</w:t>
            </w:r>
            <w:r w:rsidRPr="00F178A4">
              <w:t>rowth</w:t>
            </w:r>
          </w:p>
        </w:tc>
      </w:tr>
      <w:tr w:rsidR="009A511C" w:rsidRPr="009A520A" w14:paraId="49EF950F" w14:textId="77777777" w:rsidTr="006A4779">
        <w:trPr>
          <w:cantSplit/>
          <w:trHeight w:val="20"/>
          <w:jc w:val="center"/>
        </w:trPr>
        <w:tc>
          <w:tcPr>
            <w:tcW w:w="684" w:type="pct"/>
          </w:tcPr>
          <w:p w14:paraId="179846BF" w14:textId="77777777" w:rsidR="009A511C" w:rsidRPr="00EA4E60" w:rsidRDefault="009A511C" w:rsidP="00D121F5">
            <w:pPr>
              <w:spacing w:line="276" w:lineRule="auto"/>
              <w:jc w:val="left"/>
              <w:rPr>
                <w:rFonts w:eastAsia="Calibri"/>
                <w:b/>
                <w:szCs w:val="22"/>
              </w:rPr>
            </w:pPr>
            <w:r w:rsidRPr="00EA4E60">
              <w:rPr>
                <w:rFonts w:eastAsia="Calibri"/>
                <w:b/>
                <w:szCs w:val="22"/>
              </w:rPr>
              <w:t>Objective</w:t>
            </w:r>
            <w:r w:rsidR="006A4779">
              <w:rPr>
                <w:rFonts w:eastAsia="Calibri"/>
                <w:b/>
                <w:szCs w:val="22"/>
              </w:rPr>
              <w:t>:</w:t>
            </w:r>
          </w:p>
        </w:tc>
        <w:tc>
          <w:tcPr>
            <w:tcW w:w="4316" w:type="pct"/>
          </w:tcPr>
          <w:p w14:paraId="50F220F0" w14:textId="309FF50A" w:rsidR="0011302E" w:rsidRDefault="0011302E" w:rsidP="005701CC">
            <w:pPr>
              <w:pStyle w:val="ListParagraph"/>
              <w:numPr>
                <w:ilvl w:val="0"/>
                <w:numId w:val="2"/>
              </w:numPr>
              <w:spacing w:after="200"/>
              <w:jc w:val="left"/>
            </w:pPr>
            <w:r>
              <w:t xml:space="preserve">Improve implementation of the two inspection-related ISPMs – ISPM 23 </w:t>
            </w:r>
            <w:r w:rsidRPr="005701CC">
              <w:rPr>
                <w:i/>
                <w:iCs/>
              </w:rPr>
              <w:t>Guidelines for Inspection</w:t>
            </w:r>
            <w:r>
              <w:t xml:space="preserve"> and ISPM 31 </w:t>
            </w:r>
            <w:r w:rsidRPr="005701CC">
              <w:rPr>
                <w:i/>
                <w:iCs/>
              </w:rPr>
              <w:t>Methodologies for Sampling of Consignments</w:t>
            </w:r>
            <w:r>
              <w:t>.</w:t>
            </w:r>
          </w:p>
          <w:p w14:paraId="43298729" w14:textId="24E191A6" w:rsidR="009A511C" w:rsidRDefault="0011302E" w:rsidP="005701CC">
            <w:pPr>
              <w:pStyle w:val="ListParagraph"/>
              <w:numPr>
                <w:ilvl w:val="0"/>
                <w:numId w:val="2"/>
              </w:numPr>
              <w:spacing w:line="276" w:lineRule="auto"/>
              <w:jc w:val="left"/>
              <w:rPr>
                <w:rFonts w:eastAsia="Calibri"/>
                <w:szCs w:val="22"/>
              </w:rPr>
            </w:pPr>
            <w:r w:rsidRPr="005701CC">
              <w:rPr>
                <w:rFonts w:eastAsia="Calibri"/>
                <w:szCs w:val="22"/>
              </w:rPr>
              <w:t xml:space="preserve">Improve NPPO border operations in a way that </w:t>
            </w:r>
            <w:r>
              <w:t xml:space="preserve">maximizes NPPO resources and better manages plant health risks </w:t>
            </w:r>
          </w:p>
          <w:p w14:paraId="7190F0A4" w14:textId="091BC2D9" w:rsidR="00811E8B" w:rsidRDefault="00811E8B" w:rsidP="00811E8B">
            <w:pPr>
              <w:pStyle w:val="ListParagraph"/>
              <w:numPr>
                <w:ilvl w:val="0"/>
                <w:numId w:val="2"/>
              </w:numPr>
              <w:spacing w:line="276" w:lineRule="auto"/>
              <w:jc w:val="left"/>
              <w:rPr>
                <w:rFonts w:eastAsia="Calibri"/>
                <w:szCs w:val="22"/>
              </w:rPr>
            </w:pPr>
            <w:r>
              <w:rPr>
                <w:rFonts w:eastAsia="Calibri"/>
                <w:szCs w:val="22"/>
              </w:rPr>
              <w:t>Develop guidance on using relevant data to develop risk-profiles to better inform risk management programs</w:t>
            </w:r>
          </w:p>
          <w:p w14:paraId="0BE686ED" w14:textId="118BBCF9" w:rsidR="00811E8B" w:rsidRPr="00F9101A" w:rsidRDefault="00811E8B" w:rsidP="00811E8B">
            <w:pPr>
              <w:pStyle w:val="ListParagraph"/>
              <w:numPr>
                <w:ilvl w:val="0"/>
                <w:numId w:val="2"/>
              </w:numPr>
              <w:spacing w:line="276" w:lineRule="auto"/>
              <w:jc w:val="left"/>
              <w:rPr>
                <w:rFonts w:eastAsia="Calibri"/>
                <w:szCs w:val="22"/>
              </w:rPr>
            </w:pPr>
            <w:r>
              <w:rPr>
                <w:rFonts w:eastAsia="Calibri"/>
                <w:szCs w:val="22"/>
              </w:rPr>
              <w:t xml:space="preserve">Identify </w:t>
            </w:r>
            <w:r w:rsidR="00324831">
              <w:rPr>
                <w:rFonts w:eastAsia="Calibri"/>
                <w:szCs w:val="22"/>
              </w:rPr>
              <w:t xml:space="preserve">how </w:t>
            </w:r>
            <w:r>
              <w:rPr>
                <w:rFonts w:eastAsia="Calibri"/>
                <w:szCs w:val="22"/>
              </w:rPr>
              <w:t>pre- at- and post-border measures can be used support risk management</w:t>
            </w:r>
          </w:p>
          <w:p w14:paraId="47DED073" w14:textId="062663FE" w:rsidR="005701CC" w:rsidRPr="005701CC" w:rsidRDefault="005701CC" w:rsidP="005701CC">
            <w:pPr>
              <w:pStyle w:val="ListParagraph"/>
              <w:numPr>
                <w:ilvl w:val="0"/>
                <w:numId w:val="2"/>
              </w:numPr>
              <w:spacing w:line="276" w:lineRule="auto"/>
              <w:jc w:val="left"/>
              <w:rPr>
                <w:rFonts w:eastAsia="Calibri"/>
                <w:szCs w:val="22"/>
              </w:rPr>
            </w:pPr>
            <w:r>
              <w:rPr>
                <w:rFonts w:eastAsia="Calibri"/>
                <w:szCs w:val="22"/>
              </w:rPr>
              <w:t>Make inspection procedures technically justified</w:t>
            </w:r>
          </w:p>
        </w:tc>
      </w:tr>
      <w:tr w:rsidR="009A511C" w:rsidRPr="009A520A" w14:paraId="444F13CA" w14:textId="77777777" w:rsidTr="006A4779">
        <w:trPr>
          <w:cantSplit/>
          <w:trHeight w:val="20"/>
          <w:jc w:val="center"/>
        </w:trPr>
        <w:tc>
          <w:tcPr>
            <w:tcW w:w="684" w:type="pct"/>
          </w:tcPr>
          <w:p w14:paraId="07362CA8" w14:textId="77777777" w:rsidR="009A511C" w:rsidRPr="00EA4E60" w:rsidRDefault="006A4779" w:rsidP="00D121F5">
            <w:pPr>
              <w:spacing w:line="276" w:lineRule="auto"/>
              <w:jc w:val="left"/>
              <w:rPr>
                <w:rFonts w:eastAsia="Calibri"/>
                <w:b/>
                <w:szCs w:val="22"/>
              </w:rPr>
            </w:pPr>
            <w:r>
              <w:rPr>
                <w:rFonts w:eastAsia="Calibri"/>
                <w:b/>
                <w:szCs w:val="22"/>
              </w:rPr>
              <w:t>Process:</w:t>
            </w:r>
          </w:p>
        </w:tc>
        <w:tc>
          <w:tcPr>
            <w:tcW w:w="4316" w:type="pct"/>
          </w:tcPr>
          <w:p w14:paraId="445BD218" w14:textId="673FD046" w:rsidR="006A4779" w:rsidRDefault="006A4779" w:rsidP="006A4779">
            <w:pPr>
              <w:rPr>
                <w:rFonts w:eastAsia="Times"/>
                <w:szCs w:val="22"/>
              </w:rPr>
            </w:pPr>
            <w:r>
              <w:rPr>
                <w:rFonts w:eastAsia="Times"/>
                <w:szCs w:val="22"/>
              </w:rPr>
              <w:t xml:space="preserve">The initial </w:t>
            </w:r>
            <w:r w:rsidRPr="00D121F5">
              <w:rPr>
                <w:rFonts w:eastAsia="Times"/>
                <w:szCs w:val="22"/>
              </w:rPr>
              <w:t>study on this issue could be</w:t>
            </w:r>
            <w:r w:rsidR="006A476C">
              <w:rPr>
                <w:rFonts w:eastAsia="Times"/>
                <w:szCs w:val="22"/>
              </w:rPr>
              <w:t>gin by collecting</w:t>
            </w:r>
            <w:r w:rsidR="00F9101A">
              <w:rPr>
                <w:rFonts w:eastAsia="Times"/>
                <w:szCs w:val="22"/>
              </w:rPr>
              <w:t xml:space="preserve"> </w:t>
            </w:r>
            <w:r w:rsidRPr="00D121F5">
              <w:rPr>
                <w:rFonts w:eastAsia="Times"/>
                <w:szCs w:val="22"/>
              </w:rPr>
              <w:t xml:space="preserve">input from </w:t>
            </w:r>
            <w:r w:rsidR="00F9101A">
              <w:rPr>
                <w:rFonts w:eastAsia="Times"/>
                <w:szCs w:val="22"/>
              </w:rPr>
              <w:t>selected</w:t>
            </w:r>
            <w:r w:rsidRPr="00D121F5">
              <w:rPr>
                <w:rFonts w:eastAsia="Times"/>
                <w:szCs w:val="22"/>
              </w:rPr>
              <w:t xml:space="preserve"> experts including representatives from relevant national plant protection organizations (NPPOs), regional plant protection organizations, Codex,  OIE and the World Bank (which is leading efforts to assist NPPOs in adopting the </w:t>
            </w:r>
            <w:proofErr w:type="spellStart"/>
            <w:r w:rsidRPr="00D121F5">
              <w:rPr>
                <w:rFonts w:eastAsia="Times"/>
                <w:szCs w:val="22"/>
              </w:rPr>
              <w:t>the</w:t>
            </w:r>
            <w:proofErr w:type="spellEnd"/>
            <w:r w:rsidRPr="00D121F5">
              <w:rPr>
                <w:rFonts w:eastAsia="Times"/>
                <w:szCs w:val="22"/>
              </w:rPr>
              <w:t xml:space="preserve"> Trade Facilitation Agreement).  </w:t>
            </w:r>
          </w:p>
          <w:p w14:paraId="1197AAE1" w14:textId="77777777" w:rsidR="006A4779" w:rsidRDefault="006A4779" w:rsidP="006A4779">
            <w:pPr>
              <w:rPr>
                <w:rFonts w:eastAsia="Times"/>
                <w:szCs w:val="22"/>
              </w:rPr>
            </w:pPr>
          </w:p>
          <w:p w14:paraId="02832A25" w14:textId="63895560" w:rsidR="006A4779" w:rsidRDefault="006A4779" w:rsidP="006A4779">
            <w:r w:rsidRPr="006A4779">
              <w:t>To facilitate initial discussions on risk-based inspection and sampling that could support safe trade</w:t>
            </w:r>
            <w:r w:rsidR="005701CC">
              <w:t xml:space="preserve"> and improve risk management</w:t>
            </w:r>
            <w:r w:rsidRPr="006A4779">
              <w:t>, the following issues could be studied:</w:t>
            </w:r>
          </w:p>
          <w:p w14:paraId="7CF48DF4" w14:textId="77777777" w:rsidR="006A4779" w:rsidRDefault="006A4779" w:rsidP="006A4779">
            <w:r>
              <w:t>1.</w:t>
            </w:r>
            <w:r>
              <w:tab/>
              <w:t>Streamlined decision making and planning;</w:t>
            </w:r>
          </w:p>
          <w:p w14:paraId="4CF6B28B" w14:textId="77777777" w:rsidR="006A4779" w:rsidRDefault="006A4779" w:rsidP="006A4779">
            <w:r>
              <w:t>2.</w:t>
            </w:r>
            <w:r>
              <w:tab/>
              <w:t>Proactive management of threats and identified opportunities;</w:t>
            </w:r>
          </w:p>
          <w:p w14:paraId="2F2C5471" w14:textId="77777777" w:rsidR="006A4779" w:rsidRDefault="006A4779" w:rsidP="006A4779">
            <w:r>
              <w:t>3.</w:t>
            </w:r>
            <w:r>
              <w:tab/>
              <w:t>More effective and flexible allocation and use of resources;</w:t>
            </w:r>
          </w:p>
          <w:p w14:paraId="52B033A3" w14:textId="77777777" w:rsidR="006A4779" w:rsidRDefault="006A4779" w:rsidP="006A4779">
            <w:r>
              <w:t>4.</w:t>
            </w:r>
            <w:r>
              <w:tab/>
              <w:t>Improved controls;</w:t>
            </w:r>
          </w:p>
          <w:p w14:paraId="4CB9E415" w14:textId="77777777" w:rsidR="006A4779" w:rsidRDefault="006A4779" w:rsidP="006A4779">
            <w:r>
              <w:t>5.</w:t>
            </w:r>
            <w:r>
              <w:tab/>
              <w:t>Improved knowledge management and data collection to inform activities;</w:t>
            </w:r>
          </w:p>
          <w:p w14:paraId="126FDABD" w14:textId="77777777" w:rsidR="006A4779" w:rsidRDefault="006A4779" w:rsidP="006A4779">
            <w:r>
              <w:t>6.</w:t>
            </w:r>
            <w:r>
              <w:tab/>
              <w:t>Coordination of risk targeting with Customs agencies;</w:t>
            </w:r>
          </w:p>
          <w:p w14:paraId="682747B8" w14:textId="77777777" w:rsidR="006A4779" w:rsidRDefault="006A4779" w:rsidP="006A4779">
            <w:r>
              <w:t>7.</w:t>
            </w:r>
            <w:r>
              <w:tab/>
              <w:t>Utilization of automated risk management to facilitate decision-making;</w:t>
            </w:r>
          </w:p>
          <w:p w14:paraId="45F74D7D" w14:textId="77777777" w:rsidR="006A4779" w:rsidRDefault="006A4779" w:rsidP="006A4779">
            <w:r>
              <w:t>8.</w:t>
            </w:r>
            <w:r>
              <w:tab/>
              <w:t>Documenting procedures for the analysis of risk;</w:t>
            </w:r>
          </w:p>
          <w:p w14:paraId="3B64809D" w14:textId="77777777" w:rsidR="006A4779" w:rsidRDefault="006A4779" w:rsidP="006A4779">
            <w:r>
              <w:t>9.</w:t>
            </w:r>
            <w:r>
              <w:tab/>
              <w:t>Training in risk-based border management;</w:t>
            </w:r>
          </w:p>
          <w:p w14:paraId="19A6D676" w14:textId="77777777" w:rsidR="006A4779" w:rsidRDefault="006A4779" w:rsidP="006A4779">
            <w:r>
              <w:t>10.</w:t>
            </w:r>
            <w:r>
              <w:tab/>
              <w:t>Setting goals for border activities;</w:t>
            </w:r>
          </w:p>
          <w:p w14:paraId="307E3506" w14:textId="77777777" w:rsidR="006A4779" w:rsidRDefault="006A4779" w:rsidP="006A4779">
            <w:r>
              <w:t>11.</w:t>
            </w:r>
            <w:r>
              <w:tab/>
              <w:t>Updating of legislation, regulations, and policies;</w:t>
            </w:r>
          </w:p>
          <w:p w14:paraId="74C4FDF2" w14:textId="77777777" w:rsidR="009A511C" w:rsidRPr="006A4779" w:rsidRDefault="006A4779" w:rsidP="006A4779">
            <w:r>
              <w:t>12.</w:t>
            </w:r>
            <w:r>
              <w:tab/>
              <w:t>Building collaborative relationships with Customs and other border agencies.</w:t>
            </w:r>
          </w:p>
        </w:tc>
      </w:tr>
      <w:tr w:rsidR="009A511C" w:rsidRPr="009A520A" w14:paraId="3237128B" w14:textId="77777777" w:rsidTr="006A4779">
        <w:trPr>
          <w:cantSplit/>
          <w:trHeight w:val="20"/>
          <w:jc w:val="center"/>
        </w:trPr>
        <w:tc>
          <w:tcPr>
            <w:tcW w:w="684" w:type="pct"/>
          </w:tcPr>
          <w:p w14:paraId="28B7155C" w14:textId="77777777" w:rsidR="009A511C" w:rsidRPr="00EA4E60" w:rsidRDefault="009A511C" w:rsidP="00D121F5">
            <w:pPr>
              <w:spacing w:line="276" w:lineRule="auto"/>
              <w:jc w:val="left"/>
              <w:rPr>
                <w:rFonts w:eastAsia="Calibri"/>
                <w:b/>
                <w:szCs w:val="22"/>
              </w:rPr>
            </w:pPr>
            <w:r w:rsidRPr="00EA4E60">
              <w:rPr>
                <w:rFonts w:eastAsia="Calibri"/>
                <w:b/>
                <w:szCs w:val="22"/>
              </w:rPr>
              <w:t>Key outputs and outcome</w:t>
            </w:r>
            <w:r w:rsidR="006A4779">
              <w:rPr>
                <w:rFonts w:eastAsia="Calibri"/>
                <w:b/>
                <w:szCs w:val="22"/>
              </w:rPr>
              <w:t>s:</w:t>
            </w:r>
          </w:p>
        </w:tc>
        <w:tc>
          <w:tcPr>
            <w:tcW w:w="4316" w:type="pct"/>
          </w:tcPr>
          <w:p w14:paraId="12BB3042" w14:textId="5A8BF6B4" w:rsidR="009A511C" w:rsidRPr="009A520A" w:rsidRDefault="00D121F5" w:rsidP="006A4779">
            <w:pPr>
              <w:contextualSpacing/>
              <w:jc w:val="left"/>
              <w:rPr>
                <w:rFonts w:eastAsia="Times New Roman"/>
                <w:szCs w:val="22"/>
                <w:lang w:eastAsia="en-GB"/>
              </w:rPr>
            </w:pPr>
            <w:r>
              <w:rPr>
                <w:rFonts w:eastAsia="Calibri"/>
                <w:szCs w:val="22"/>
              </w:rPr>
              <w:t>A</w:t>
            </w:r>
            <w:r w:rsidRPr="00D121F5">
              <w:rPr>
                <w:rFonts w:eastAsia="Calibri"/>
                <w:szCs w:val="22"/>
              </w:rPr>
              <w:t xml:space="preserve"> report </w:t>
            </w:r>
            <w:r>
              <w:rPr>
                <w:rFonts w:eastAsia="Calibri"/>
                <w:szCs w:val="22"/>
              </w:rPr>
              <w:t xml:space="preserve">on the </w:t>
            </w:r>
            <w:r w:rsidR="005701CC">
              <w:rPr>
                <w:rFonts w:eastAsia="Calibri"/>
                <w:szCs w:val="22"/>
              </w:rPr>
              <w:t xml:space="preserve">application </w:t>
            </w:r>
            <w:r>
              <w:rPr>
                <w:rFonts w:eastAsia="Calibri"/>
                <w:szCs w:val="22"/>
              </w:rPr>
              <w:t xml:space="preserve">of </w:t>
            </w:r>
            <w:r w:rsidR="006A4779">
              <w:rPr>
                <w:rFonts w:eastAsia="Calibri"/>
                <w:szCs w:val="22"/>
              </w:rPr>
              <w:t>risk</w:t>
            </w:r>
            <w:r w:rsidR="005701CC">
              <w:rPr>
                <w:rFonts w:eastAsia="Calibri"/>
                <w:szCs w:val="22"/>
              </w:rPr>
              <w:t>-</w:t>
            </w:r>
            <w:r w:rsidR="006A4779">
              <w:rPr>
                <w:rFonts w:eastAsia="Calibri"/>
                <w:szCs w:val="22"/>
              </w:rPr>
              <w:t>based</w:t>
            </w:r>
            <w:r>
              <w:rPr>
                <w:rFonts w:eastAsia="Calibri"/>
                <w:szCs w:val="22"/>
              </w:rPr>
              <w:t xml:space="preserve"> </w:t>
            </w:r>
            <w:r w:rsidR="005701CC">
              <w:rPr>
                <w:rFonts w:eastAsia="Calibri"/>
                <w:szCs w:val="22"/>
              </w:rPr>
              <w:t>sampling/</w:t>
            </w:r>
            <w:r>
              <w:rPr>
                <w:rFonts w:eastAsia="Calibri"/>
                <w:szCs w:val="22"/>
              </w:rPr>
              <w:t xml:space="preserve">inspection </w:t>
            </w:r>
            <w:r w:rsidR="005701CC">
              <w:rPr>
                <w:rFonts w:eastAsia="Calibri"/>
                <w:szCs w:val="22"/>
              </w:rPr>
              <w:t xml:space="preserve">and its benefits to NPPOs </w:t>
            </w:r>
            <w:r>
              <w:rPr>
                <w:rFonts w:eastAsia="Calibri"/>
                <w:szCs w:val="22"/>
              </w:rPr>
              <w:t xml:space="preserve">would be produced, </w:t>
            </w:r>
            <w:r w:rsidRPr="00D121F5">
              <w:rPr>
                <w:rFonts w:eastAsia="Calibri"/>
                <w:szCs w:val="22"/>
              </w:rPr>
              <w:t>presented to the IC and then published on the IPP.</w:t>
            </w:r>
          </w:p>
        </w:tc>
      </w:tr>
      <w:tr w:rsidR="009A511C" w:rsidRPr="009A520A" w14:paraId="4BCD5EE0" w14:textId="77777777" w:rsidTr="006A4779">
        <w:trPr>
          <w:cantSplit/>
          <w:trHeight w:val="20"/>
          <w:jc w:val="center"/>
        </w:trPr>
        <w:tc>
          <w:tcPr>
            <w:tcW w:w="684" w:type="pct"/>
          </w:tcPr>
          <w:p w14:paraId="05CF2BAD" w14:textId="77777777" w:rsidR="009A511C" w:rsidRPr="00EA4E60" w:rsidRDefault="009A511C" w:rsidP="00D121F5">
            <w:pPr>
              <w:spacing w:line="276" w:lineRule="auto"/>
              <w:jc w:val="left"/>
              <w:rPr>
                <w:rFonts w:eastAsia="Calibri"/>
                <w:b/>
                <w:szCs w:val="22"/>
              </w:rPr>
            </w:pPr>
            <w:r w:rsidRPr="00EA4E60">
              <w:rPr>
                <w:rFonts w:eastAsia="Calibri"/>
                <w:b/>
                <w:szCs w:val="22"/>
              </w:rPr>
              <w:t>Expected impact</w:t>
            </w:r>
            <w:r w:rsidR="006A4779">
              <w:rPr>
                <w:rFonts w:eastAsia="Calibri"/>
                <w:b/>
                <w:szCs w:val="22"/>
              </w:rPr>
              <w:t>:</w:t>
            </w:r>
          </w:p>
        </w:tc>
        <w:tc>
          <w:tcPr>
            <w:tcW w:w="4316" w:type="pct"/>
          </w:tcPr>
          <w:p w14:paraId="77CB42C4" w14:textId="067D94A4" w:rsidR="009A511C" w:rsidRPr="009A520A" w:rsidRDefault="00D121F5" w:rsidP="00D121F5">
            <w:pPr>
              <w:spacing w:line="276" w:lineRule="auto"/>
              <w:jc w:val="left"/>
              <w:rPr>
                <w:rFonts w:eastAsia="Calibri"/>
                <w:szCs w:val="22"/>
              </w:rPr>
            </w:pPr>
            <w:r>
              <w:rPr>
                <w:rFonts w:eastAsia="Calibri"/>
                <w:szCs w:val="22"/>
              </w:rPr>
              <w:t>More contracting parties could consider using risk</w:t>
            </w:r>
            <w:r w:rsidR="005701CC">
              <w:rPr>
                <w:rFonts w:eastAsia="Calibri"/>
                <w:szCs w:val="22"/>
              </w:rPr>
              <w:t>-</w:t>
            </w:r>
            <w:r>
              <w:rPr>
                <w:rFonts w:eastAsia="Calibri"/>
                <w:szCs w:val="22"/>
              </w:rPr>
              <w:t>based inspection</w:t>
            </w:r>
            <w:r w:rsidR="005701CC">
              <w:rPr>
                <w:rFonts w:eastAsia="Calibri"/>
                <w:szCs w:val="22"/>
              </w:rPr>
              <w:t>s</w:t>
            </w:r>
            <w:r>
              <w:rPr>
                <w:rFonts w:eastAsia="Calibri"/>
                <w:szCs w:val="22"/>
              </w:rPr>
              <w:t xml:space="preserve"> to </w:t>
            </w:r>
            <w:r w:rsidR="005701CC">
              <w:rPr>
                <w:rFonts w:eastAsia="Calibri"/>
                <w:szCs w:val="22"/>
              </w:rPr>
              <w:t>align this phytosanitary measure with its requirement to be technically justified, as stated in the IPPC and in the SPS Agreement.</w:t>
            </w:r>
          </w:p>
        </w:tc>
      </w:tr>
      <w:tr w:rsidR="009A511C" w:rsidRPr="009A520A" w14:paraId="4084196F" w14:textId="77777777" w:rsidTr="006A4779">
        <w:trPr>
          <w:cantSplit/>
          <w:trHeight w:val="20"/>
          <w:jc w:val="center"/>
        </w:trPr>
        <w:tc>
          <w:tcPr>
            <w:tcW w:w="684" w:type="pct"/>
          </w:tcPr>
          <w:p w14:paraId="20BD9304" w14:textId="77777777" w:rsidR="009A511C" w:rsidRPr="00EA4E60" w:rsidRDefault="009A511C" w:rsidP="00D121F5">
            <w:pPr>
              <w:spacing w:line="276" w:lineRule="auto"/>
              <w:jc w:val="left"/>
              <w:rPr>
                <w:rFonts w:eastAsia="Calibri"/>
                <w:b/>
                <w:szCs w:val="22"/>
              </w:rPr>
            </w:pPr>
            <w:r w:rsidRPr="00EA4E60">
              <w:rPr>
                <w:rFonts w:eastAsia="Calibri"/>
                <w:b/>
                <w:szCs w:val="22"/>
              </w:rPr>
              <w:t>Target groups</w:t>
            </w:r>
            <w:r w:rsidR="006A4779">
              <w:rPr>
                <w:rFonts w:eastAsia="Calibri"/>
                <w:b/>
                <w:szCs w:val="22"/>
              </w:rPr>
              <w:t>:</w:t>
            </w:r>
          </w:p>
        </w:tc>
        <w:tc>
          <w:tcPr>
            <w:tcW w:w="4316" w:type="pct"/>
          </w:tcPr>
          <w:p w14:paraId="23BDB98D" w14:textId="77777777" w:rsidR="009A511C" w:rsidRPr="009A520A" w:rsidRDefault="00D121F5" w:rsidP="00D121F5">
            <w:pPr>
              <w:pStyle w:val="IPPNormal"/>
              <w:jc w:val="left"/>
              <w:rPr>
                <w:szCs w:val="22"/>
              </w:rPr>
            </w:pPr>
            <w:r>
              <w:rPr>
                <w:szCs w:val="22"/>
              </w:rPr>
              <w:t>NPPOs</w:t>
            </w:r>
          </w:p>
        </w:tc>
      </w:tr>
      <w:tr w:rsidR="006A4779" w:rsidRPr="009A520A" w14:paraId="71B64769" w14:textId="77777777" w:rsidTr="006A4779">
        <w:trPr>
          <w:cantSplit/>
          <w:trHeight w:val="20"/>
          <w:jc w:val="center"/>
        </w:trPr>
        <w:tc>
          <w:tcPr>
            <w:tcW w:w="5000" w:type="pct"/>
            <w:gridSpan w:val="2"/>
          </w:tcPr>
          <w:p w14:paraId="26D08E8B" w14:textId="77777777" w:rsidR="006A4779" w:rsidRPr="006A4779" w:rsidRDefault="006A4779" w:rsidP="006A4779">
            <w:pPr>
              <w:spacing w:line="276" w:lineRule="auto"/>
              <w:jc w:val="left"/>
              <w:rPr>
                <w:color w:val="000000" w:themeColor="text1"/>
              </w:rPr>
            </w:pPr>
            <w:r w:rsidRPr="006A4779">
              <w:rPr>
                <w:rFonts w:eastAsia="Calibri"/>
                <w:b/>
                <w:szCs w:val="22"/>
              </w:rPr>
              <w:lastRenderedPageBreak/>
              <w:t>References</w:t>
            </w:r>
            <w:r>
              <w:rPr>
                <w:rFonts w:eastAsia="Calibri"/>
                <w:b/>
                <w:szCs w:val="22"/>
              </w:rPr>
              <w:t>:</w:t>
            </w:r>
          </w:p>
          <w:p w14:paraId="29F92E75" w14:textId="77777777" w:rsidR="006A4779" w:rsidRPr="006A4779" w:rsidRDefault="006A4779" w:rsidP="006A4779">
            <w:pPr>
              <w:rPr>
                <w:color w:val="000000" w:themeColor="text1"/>
              </w:rPr>
            </w:pPr>
            <w:r w:rsidRPr="006A4779">
              <w:rPr>
                <w:color w:val="000000" w:themeColor="text1"/>
              </w:rPr>
              <w:t>1.</w:t>
            </w:r>
            <w:r w:rsidRPr="006A4779">
              <w:rPr>
                <w:color w:val="000000" w:themeColor="text1"/>
              </w:rPr>
              <w:tab/>
            </w:r>
            <w:hyperlink r:id="rId8" w:history="1">
              <w:r w:rsidRPr="006A4779">
                <w:rPr>
                  <w:rStyle w:val="Hyperlink"/>
                  <w:color w:val="000000" w:themeColor="text1"/>
                </w:rPr>
                <w:t>http://www.nappo.org/index.php?cID=724</w:t>
              </w:r>
            </w:hyperlink>
            <w:r w:rsidRPr="006A4779">
              <w:rPr>
                <w:color w:val="000000" w:themeColor="text1"/>
              </w:rPr>
              <w:t xml:space="preserve"> </w:t>
            </w:r>
          </w:p>
          <w:p w14:paraId="57780EAD" w14:textId="77777777" w:rsidR="006A4779" w:rsidRPr="006A4779" w:rsidRDefault="006A4779" w:rsidP="006A4779">
            <w:pPr>
              <w:rPr>
                <w:color w:val="000000" w:themeColor="text1"/>
              </w:rPr>
            </w:pPr>
            <w:r w:rsidRPr="006A4779">
              <w:rPr>
                <w:color w:val="000000" w:themeColor="text1"/>
              </w:rPr>
              <w:t>2.</w:t>
            </w:r>
            <w:r w:rsidRPr="006A4779">
              <w:rPr>
                <w:color w:val="000000" w:themeColor="text1"/>
              </w:rPr>
              <w:tab/>
            </w:r>
            <w:hyperlink r:id="rId9" w:history="1">
              <w:r w:rsidRPr="006A4779">
                <w:rPr>
                  <w:rStyle w:val="Hyperlink"/>
                  <w:color w:val="000000" w:themeColor="text1"/>
                </w:rPr>
                <w:t>https://onlinelibrary.wiley.com/doi/10.1111/j.1365-2338.2006.00910.x</w:t>
              </w:r>
            </w:hyperlink>
            <w:r w:rsidRPr="006A4779">
              <w:rPr>
                <w:color w:val="000000" w:themeColor="text1"/>
              </w:rPr>
              <w:t xml:space="preserve"> </w:t>
            </w:r>
          </w:p>
          <w:p w14:paraId="33D7EA53" w14:textId="77777777" w:rsidR="006A4779" w:rsidRPr="006A4779" w:rsidRDefault="006A4779" w:rsidP="006A4779">
            <w:pPr>
              <w:rPr>
                <w:color w:val="000000" w:themeColor="text1"/>
              </w:rPr>
            </w:pPr>
            <w:r w:rsidRPr="006A4779">
              <w:rPr>
                <w:color w:val="000000" w:themeColor="text1"/>
              </w:rPr>
              <w:t>3.</w:t>
            </w:r>
            <w:r w:rsidRPr="006A4779">
              <w:rPr>
                <w:color w:val="000000" w:themeColor="text1"/>
              </w:rPr>
              <w:tab/>
            </w:r>
            <w:hyperlink r:id="rId10" w:history="1">
              <w:r w:rsidRPr="006A4779">
                <w:rPr>
                  <w:rStyle w:val="Hyperlink"/>
                  <w:color w:val="000000" w:themeColor="text1"/>
                </w:rPr>
                <w:t>https://arxiv.org/pdf/1702.04052.pdf</w:t>
              </w:r>
            </w:hyperlink>
            <w:r w:rsidRPr="006A4779">
              <w:rPr>
                <w:color w:val="000000" w:themeColor="text1"/>
              </w:rPr>
              <w:t xml:space="preserve"> </w:t>
            </w:r>
          </w:p>
          <w:p w14:paraId="7D454612" w14:textId="77777777" w:rsidR="006A4779" w:rsidRPr="006A4779" w:rsidRDefault="006A4779" w:rsidP="006A4779">
            <w:pPr>
              <w:rPr>
                <w:color w:val="000000" w:themeColor="text1"/>
              </w:rPr>
            </w:pPr>
            <w:r w:rsidRPr="006A4779">
              <w:rPr>
                <w:color w:val="000000" w:themeColor="text1"/>
              </w:rPr>
              <w:t>4.</w:t>
            </w:r>
            <w:r w:rsidRPr="006A4779">
              <w:rPr>
                <w:color w:val="000000" w:themeColor="text1"/>
              </w:rPr>
              <w:tab/>
            </w:r>
            <w:hyperlink r:id="rId11" w:history="1">
              <w:r w:rsidRPr="006A4779">
                <w:rPr>
                  <w:rStyle w:val="Hyperlink"/>
                  <w:color w:val="000000" w:themeColor="text1"/>
                </w:rPr>
                <w:t>https://www.aphis.usda.gov/aphis/ourfocus/planthealth/import-information/agriculture-quarantine-inspection/rbs</w:t>
              </w:r>
            </w:hyperlink>
            <w:r w:rsidRPr="006A4779">
              <w:rPr>
                <w:color w:val="000000" w:themeColor="text1"/>
              </w:rPr>
              <w:t xml:space="preserve"> </w:t>
            </w:r>
          </w:p>
          <w:p w14:paraId="659E0B29" w14:textId="77777777" w:rsidR="006A4779" w:rsidRPr="006A4779" w:rsidRDefault="006A4779" w:rsidP="006A4779">
            <w:pPr>
              <w:rPr>
                <w:color w:val="000000" w:themeColor="text1"/>
              </w:rPr>
            </w:pPr>
            <w:r w:rsidRPr="006A4779">
              <w:rPr>
                <w:color w:val="000000" w:themeColor="text1"/>
              </w:rPr>
              <w:t>5.</w:t>
            </w:r>
            <w:r w:rsidRPr="006A4779">
              <w:rPr>
                <w:color w:val="000000" w:themeColor="text1"/>
              </w:rPr>
              <w:tab/>
            </w:r>
            <w:hyperlink r:id="rId12" w:history="1">
              <w:r w:rsidRPr="006A4779">
                <w:rPr>
                  <w:rStyle w:val="Hyperlink"/>
                  <w:color w:val="000000" w:themeColor="text1"/>
                </w:rPr>
                <w:t>https://www.inspection.gc.ca/DAM/DAM-aboutcfia-sujetacia/STAGING/text-texte/era_pamphlet_2019_1564412472093_eng.pdf</w:t>
              </w:r>
            </w:hyperlink>
            <w:r w:rsidRPr="006A4779">
              <w:rPr>
                <w:color w:val="000000" w:themeColor="text1"/>
              </w:rPr>
              <w:t xml:space="preserve"> </w:t>
            </w:r>
          </w:p>
          <w:p w14:paraId="7B1F1003" w14:textId="77777777" w:rsidR="006A4779" w:rsidRDefault="006A4779" w:rsidP="006A4779">
            <w:pPr>
              <w:pStyle w:val="IPPNormal"/>
              <w:jc w:val="left"/>
              <w:rPr>
                <w:szCs w:val="22"/>
              </w:rPr>
            </w:pPr>
            <w:r w:rsidRPr="006A4779">
              <w:rPr>
                <w:color w:val="000000" w:themeColor="text1"/>
              </w:rPr>
              <w:t>6.</w:t>
            </w:r>
            <w:r w:rsidRPr="006A4779">
              <w:rPr>
                <w:color w:val="000000" w:themeColor="text1"/>
              </w:rPr>
              <w:tab/>
            </w:r>
            <w:hyperlink r:id="rId13" w:history="1">
              <w:r w:rsidRPr="006A4779">
                <w:rPr>
                  <w:rStyle w:val="Hyperlink"/>
                  <w:color w:val="000000" w:themeColor="text1"/>
                </w:rPr>
                <w:t>https://inspection.gc.ca/about-the-cfia/acts-and-regulations/safe-and-responsive-regulatory-framework/outcome-based-regulations/eng/1545927831816/1545927832066</w:t>
              </w:r>
            </w:hyperlink>
          </w:p>
        </w:tc>
      </w:tr>
    </w:tbl>
    <w:p w14:paraId="78DE7EF4" w14:textId="77777777" w:rsidR="00663741" w:rsidRDefault="00BA0A20" w:rsidP="00D121F5">
      <w:pPr>
        <w:jc w:val="left"/>
      </w:pPr>
    </w:p>
    <w:sectPr w:rsidR="0066374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81C9C"/>
    <w:multiLevelType w:val="hybridMultilevel"/>
    <w:tmpl w:val="4796D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BCE0228"/>
    <w:multiLevelType w:val="hybridMultilevel"/>
    <w:tmpl w:val="C19865F6"/>
    <w:lvl w:ilvl="0" w:tplc="0C090017">
      <w:start w:val="1"/>
      <w:numFmt w:val="lowerLetter"/>
      <w:lvlText w:val="%1)"/>
      <w:lvlJc w:val="left"/>
      <w:pPr>
        <w:ind w:left="720" w:hanging="360"/>
      </w:pPr>
    </w:lvl>
    <w:lvl w:ilvl="1" w:tplc="0C090019">
      <w:start w:val="1"/>
      <w:numFmt w:val="decimal"/>
      <w:lvlText w:val="%2."/>
      <w:lvlJc w:val="left"/>
      <w:pPr>
        <w:tabs>
          <w:tab w:val="num" w:pos="1440"/>
        </w:tabs>
        <w:ind w:left="1440" w:hanging="360"/>
      </w:pPr>
    </w:lvl>
    <w:lvl w:ilvl="2" w:tplc="0C09001B">
      <w:start w:val="1"/>
      <w:numFmt w:val="decimal"/>
      <w:lvlText w:val="%3."/>
      <w:lvlJc w:val="left"/>
      <w:pPr>
        <w:tabs>
          <w:tab w:val="num" w:pos="2160"/>
        </w:tabs>
        <w:ind w:left="2160" w:hanging="360"/>
      </w:pPr>
    </w:lvl>
    <w:lvl w:ilvl="3" w:tplc="0C09000F">
      <w:start w:val="1"/>
      <w:numFmt w:val="decimal"/>
      <w:lvlText w:val="%4."/>
      <w:lvlJc w:val="left"/>
      <w:pPr>
        <w:tabs>
          <w:tab w:val="num" w:pos="2880"/>
        </w:tabs>
        <w:ind w:left="2880" w:hanging="360"/>
      </w:pPr>
    </w:lvl>
    <w:lvl w:ilvl="4" w:tplc="0C090019">
      <w:start w:val="1"/>
      <w:numFmt w:val="decimal"/>
      <w:lvlText w:val="%5."/>
      <w:lvlJc w:val="left"/>
      <w:pPr>
        <w:tabs>
          <w:tab w:val="num" w:pos="3600"/>
        </w:tabs>
        <w:ind w:left="3600" w:hanging="360"/>
      </w:pPr>
    </w:lvl>
    <w:lvl w:ilvl="5" w:tplc="0C09001B">
      <w:start w:val="1"/>
      <w:numFmt w:val="decimal"/>
      <w:lvlText w:val="%6."/>
      <w:lvlJc w:val="left"/>
      <w:pPr>
        <w:tabs>
          <w:tab w:val="num" w:pos="4320"/>
        </w:tabs>
        <w:ind w:left="4320" w:hanging="360"/>
      </w:pPr>
    </w:lvl>
    <w:lvl w:ilvl="6" w:tplc="0C09000F">
      <w:start w:val="1"/>
      <w:numFmt w:val="decimal"/>
      <w:lvlText w:val="%7."/>
      <w:lvlJc w:val="left"/>
      <w:pPr>
        <w:tabs>
          <w:tab w:val="num" w:pos="5040"/>
        </w:tabs>
        <w:ind w:left="5040" w:hanging="360"/>
      </w:pPr>
    </w:lvl>
    <w:lvl w:ilvl="7" w:tplc="0C090019">
      <w:start w:val="1"/>
      <w:numFmt w:val="decimal"/>
      <w:lvlText w:val="%8."/>
      <w:lvlJc w:val="left"/>
      <w:pPr>
        <w:tabs>
          <w:tab w:val="num" w:pos="5760"/>
        </w:tabs>
        <w:ind w:left="5760" w:hanging="360"/>
      </w:pPr>
    </w:lvl>
    <w:lvl w:ilvl="8" w:tplc="0C09001B">
      <w:start w:val="1"/>
      <w:numFmt w:val="decimal"/>
      <w:lvlText w:val="%9."/>
      <w:lvlJc w:val="left"/>
      <w:pPr>
        <w:tabs>
          <w:tab w:val="num" w:pos="6480"/>
        </w:tabs>
        <w:ind w:left="6480" w:hanging="360"/>
      </w:pPr>
    </w:lvl>
  </w:abstractNum>
  <w:abstractNum w:abstractNumId="2" w15:restartNumberingAfterBreak="0">
    <w:nsid w:val="5BD67170"/>
    <w:multiLevelType w:val="hybridMultilevel"/>
    <w:tmpl w:val="9DF66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511C"/>
    <w:rsid w:val="00025CC5"/>
    <w:rsid w:val="0011302E"/>
    <w:rsid w:val="001B607B"/>
    <w:rsid w:val="00324831"/>
    <w:rsid w:val="003775C3"/>
    <w:rsid w:val="00445ADD"/>
    <w:rsid w:val="005701CC"/>
    <w:rsid w:val="006A476C"/>
    <w:rsid w:val="006A4779"/>
    <w:rsid w:val="006C179B"/>
    <w:rsid w:val="00811E8B"/>
    <w:rsid w:val="008232B6"/>
    <w:rsid w:val="009A511C"/>
    <w:rsid w:val="00A63E1D"/>
    <w:rsid w:val="00AC7ECB"/>
    <w:rsid w:val="00B862E1"/>
    <w:rsid w:val="00BA0A20"/>
    <w:rsid w:val="00D121F5"/>
    <w:rsid w:val="00D63E9D"/>
    <w:rsid w:val="00EA4E60"/>
    <w:rsid w:val="00F910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1512F3"/>
  <w15:chartTrackingRefBased/>
  <w15:docId w15:val="{69A000FC-39BB-4E28-ABB7-42D650D2E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511C"/>
    <w:pPr>
      <w:spacing w:after="0" w:line="240" w:lineRule="auto"/>
      <w:jc w:val="both"/>
    </w:pPr>
    <w:rPr>
      <w:rFonts w:ascii="Times New Roman" w:eastAsia="MS Mincho" w:hAnsi="Times New Roman" w:cs="Times New Roman"/>
      <w:szCs w:val="24"/>
      <w:lang w:val="en-GB"/>
    </w:rPr>
  </w:style>
  <w:style w:type="paragraph" w:styleId="Heading1">
    <w:name w:val="heading 1"/>
    <w:basedOn w:val="Normal"/>
    <w:next w:val="Normal"/>
    <w:link w:val="Heading1Char"/>
    <w:uiPriority w:val="9"/>
    <w:qFormat/>
    <w:rsid w:val="006A4779"/>
    <w:pPr>
      <w:keepNext/>
      <w:keepLines/>
      <w:spacing w:before="240" w:line="259" w:lineRule="auto"/>
      <w:jc w:val="left"/>
      <w:outlineLvl w:val="0"/>
    </w:pPr>
    <w:rPr>
      <w:rFonts w:asciiTheme="majorHAnsi" w:eastAsiaTheme="majorEastAsia" w:hAnsiTheme="majorHAnsi" w:cstheme="majorBidi"/>
      <w:b/>
      <w:color w:val="2E74B5" w:themeColor="accent1" w:themeShade="BF"/>
      <w:sz w:val="24"/>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A511C"/>
    <w:rPr>
      <w:color w:val="0563C1" w:themeColor="hyperlink"/>
      <w:u w:val="single"/>
    </w:rPr>
  </w:style>
  <w:style w:type="paragraph" w:customStyle="1" w:styleId="IPPNormal">
    <w:name w:val="IPP Normal"/>
    <w:basedOn w:val="Normal"/>
    <w:link w:val="IPPNormalChar"/>
    <w:qFormat/>
    <w:rsid w:val="009A511C"/>
    <w:pPr>
      <w:spacing w:after="180"/>
    </w:pPr>
    <w:rPr>
      <w:rFonts w:eastAsia="Times"/>
    </w:rPr>
  </w:style>
  <w:style w:type="character" w:customStyle="1" w:styleId="IPPNormalChar">
    <w:name w:val="IPP Normal Char"/>
    <w:link w:val="IPPNormal"/>
    <w:locked/>
    <w:rsid w:val="009A511C"/>
    <w:rPr>
      <w:rFonts w:ascii="Times New Roman" w:eastAsia="Times" w:hAnsi="Times New Roman" w:cs="Times New Roman"/>
      <w:szCs w:val="24"/>
      <w:lang w:val="en-GB"/>
    </w:rPr>
  </w:style>
  <w:style w:type="character" w:customStyle="1" w:styleId="Heading1Char">
    <w:name w:val="Heading 1 Char"/>
    <w:basedOn w:val="DefaultParagraphFont"/>
    <w:link w:val="Heading1"/>
    <w:uiPriority w:val="9"/>
    <w:rsid w:val="006A4779"/>
    <w:rPr>
      <w:rFonts w:asciiTheme="majorHAnsi" w:eastAsiaTheme="majorEastAsia" w:hAnsiTheme="majorHAnsi" w:cstheme="majorBidi"/>
      <w:b/>
      <w:color w:val="2E74B5" w:themeColor="accent1" w:themeShade="BF"/>
      <w:sz w:val="24"/>
      <w:szCs w:val="32"/>
    </w:rPr>
  </w:style>
  <w:style w:type="character" w:customStyle="1" w:styleId="UnresolvedMention1">
    <w:name w:val="Unresolved Mention1"/>
    <w:basedOn w:val="DefaultParagraphFont"/>
    <w:uiPriority w:val="99"/>
    <w:semiHidden/>
    <w:unhideWhenUsed/>
    <w:rsid w:val="006A4779"/>
    <w:rPr>
      <w:color w:val="605E5C"/>
      <w:shd w:val="clear" w:color="auto" w:fill="E1DFDD"/>
    </w:rPr>
  </w:style>
  <w:style w:type="paragraph" w:styleId="BalloonText">
    <w:name w:val="Balloon Text"/>
    <w:basedOn w:val="Normal"/>
    <w:link w:val="BalloonTextChar"/>
    <w:uiPriority w:val="99"/>
    <w:semiHidden/>
    <w:unhideWhenUsed/>
    <w:rsid w:val="00D63E9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3E9D"/>
    <w:rPr>
      <w:rFonts w:ascii="Segoe UI" w:eastAsia="MS Mincho" w:hAnsi="Segoe UI" w:cs="Segoe UI"/>
      <w:sz w:val="18"/>
      <w:szCs w:val="18"/>
      <w:lang w:val="en-GB"/>
    </w:rPr>
  </w:style>
  <w:style w:type="paragraph" w:styleId="ListParagraph">
    <w:name w:val="List Paragraph"/>
    <w:basedOn w:val="Normal"/>
    <w:uiPriority w:val="34"/>
    <w:qFormat/>
    <w:rsid w:val="005701CC"/>
    <w:pPr>
      <w:ind w:left="720"/>
      <w:contextualSpacing/>
    </w:pPr>
  </w:style>
  <w:style w:type="paragraph" w:customStyle="1" w:styleId="Default">
    <w:name w:val="Default"/>
    <w:rsid w:val="003775C3"/>
    <w:pPr>
      <w:autoSpaceDE w:val="0"/>
      <w:autoSpaceDN w:val="0"/>
      <w:adjustRightInd w:val="0"/>
      <w:spacing w:after="0" w:line="240" w:lineRule="auto"/>
    </w:pPr>
    <w:rPr>
      <w:rFonts w:ascii="Gill Sans MT" w:hAnsi="Gill Sans MT" w:cs="Gill Sans MT"/>
      <w:color w:val="000000"/>
      <w:sz w:val="24"/>
      <w:szCs w:val="24"/>
    </w:rPr>
  </w:style>
  <w:style w:type="character" w:styleId="CommentReference">
    <w:name w:val="annotation reference"/>
    <w:basedOn w:val="DefaultParagraphFont"/>
    <w:uiPriority w:val="99"/>
    <w:semiHidden/>
    <w:unhideWhenUsed/>
    <w:rsid w:val="00811E8B"/>
    <w:rPr>
      <w:sz w:val="16"/>
      <w:szCs w:val="16"/>
    </w:rPr>
  </w:style>
  <w:style w:type="paragraph" w:styleId="CommentText">
    <w:name w:val="annotation text"/>
    <w:basedOn w:val="Normal"/>
    <w:link w:val="CommentTextChar"/>
    <w:uiPriority w:val="99"/>
    <w:semiHidden/>
    <w:unhideWhenUsed/>
    <w:rsid w:val="00811E8B"/>
    <w:rPr>
      <w:sz w:val="20"/>
      <w:szCs w:val="20"/>
    </w:rPr>
  </w:style>
  <w:style w:type="character" w:customStyle="1" w:styleId="CommentTextChar">
    <w:name w:val="Comment Text Char"/>
    <w:basedOn w:val="DefaultParagraphFont"/>
    <w:link w:val="CommentText"/>
    <w:uiPriority w:val="99"/>
    <w:semiHidden/>
    <w:rsid w:val="00811E8B"/>
    <w:rPr>
      <w:rFonts w:ascii="Times New Roman" w:eastAsia="MS Mincho"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11E8B"/>
    <w:rPr>
      <w:b/>
      <w:bCs/>
    </w:rPr>
  </w:style>
  <w:style w:type="character" w:customStyle="1" w:styleId="CommentSubjectChar">
    <w:name w:val="Comment Subject Char"/>
    <w:basedOn w:val="CommentTextChar"/>
    <w:link w:val="CommentSubject"/>
    <w:uiPriority w:val="99"/>
    <w:semiHidden/>
    <w:rsid w:val="00811E8B"/>
    <w:rPr>
      <w:rFonts w:ascii="Times New Roman" w:eastAsia="MS Mincho"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appo.org/index.php?cID=724" TargetMode="External"/><Relationship Id="rId13" Type="http://schemas.openxmlformats.org/officeDocument/2006/relationships/hyperlink" Target="https://inspection.gc.ca/about-the-cfia/acts-and-regulations/safe-and-responsive-regulatory-framework/outcome-based-regulations/eng/1545927831816/1545927832066"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inspection.gc.ca/DAM/DAM-aboutcfia-sujetacia/STAGING/text-texte/era_pamphlet_2019_1564412472093_eng.pd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aphis.usda.gov/aphis/ourfocus/planthealth/import-information/agriculture-quarantine-inspection/rb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arxiv.org/pdf/1702.04052.pdf" TargetMode="External"/><Relationship Id="rId4" Type="http://schemas.openxmlformats.org/officeDocument/2006/relationships/numbering" Target="numbering.xml"/><Relationship Id="rId9" Type="http://schemas.openxmlformats.org/officeDocument/2006/relationships/hyperlink" Target="https://onlinelibrary.wiley.com/doi/10.1111/j.1365-2338.2006.00910.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AB51A52D1780441822D40925A22AA42" ma:contentTypeVersion="13" ma:contentTypeDescription="Create a new document." ma:contentTypeScope="" ma:versionID="f762dbe341e80d4ae112b5d83dc7f371">
  <xsd:schema xmlns:xsd="http://www.w3.org/2001/XMLSchema" xmlns:xs="http://www.w3.org/2001/XMLSchema" xmlns:p="http://schemas.microsoft.com/office/2006/metadata/properties" xmlns:ns3="2f861824-0e83-4ec2-a9fe-a6b8ae2d1a85" xmlns:ns4="bb63ea8d-f216-49ac-8c33-b5ee83c848c5" targetNamespace="http://schemas.microsoft.com/office/2006/metadata/properties" ma:root="true" ma:fieldsID="78a0beba7e70ea724d729f7873c3c0fd" ns3:_="" ns4:_="">
    <xsd:import namespace="2f861824-0e83-4ec2-a9fe-a6b8ae2d1a85"/>
    <xsd:import namespace="bb63ea8d-f216-49ac-8c33-b5ee83c848c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4:SharedWithUsers" minOccurs="0"/>
                <xsd:element ref="ns4:SharedWithDetails" minOccurs="0"/>
                <xsd:element ref="ns4:SharingHintHash"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861824-0e83-4ec2-a9fe-a6b8ae2d1a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63ea8d-f216-49ac-8c33-b5ee83c848c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4D50CA-2D2E-4E9B-82ED-E23E24D03050}">
  <ds:schemaRefs>
    <ds:schemaRef ds:uri="http://schemas.microsoft.com/sharepoint/v3/contenttype/forms"/>
  </ds:schemaRefs>
</ds:datastoreItem>
</file>

<file path=customXml/itemProps2.xml><?xml version="1.0" encoding="utf-8"?>
<ds:datastoreItem xmlns:ds="http://schemas.openxmlformats.org/officeDocument/2006/customXml" ds:itemID="{CCADF19C-426B-49F6-B208-CE27564DC7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861824-0e83-4ec2-a9fe-a6b8ae2d1a85"/>
    <ds:schemaRef ds:uri="bb63ea8d-f216-49ac-8c33-b5ee83c848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A3D314-F64A-4E0F-BA3F-62D9CED5B9EE}">
  <ds:schemaRefs>
    <ds:schemaRef ds:uri="http://purl.org/dc/dcmitype/"/>
    <ds:schemaRef ds:uri="http://schemas.microsoft.com/office/infopath/2007/PartnerControls"/>
    <ds:schemaRef ds:uri="2f861824-0e83-4ec2-a9fe-a6b8ae2d1a85"/>
    <ds:schemaRef ds:uri="http://purl.org/dc/elements/1.1/"/>
    <ds:schemaRef ds:uri="http://schemas.microsoft.com/office/2006/documentManagement/types"/>
    <ds:schemaRef ds:uri="bb63ea8d-f216-49ac-8c33-b5ee83c848c5"/>
    <ds:schemaRef ds:uri="http://purl.org/dc/terms/"/>
    <ds:schemaRef ds:uri="http://schemas.openxmlformats.org/package/2006/metadata/core-properties"/>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1034</Words>
  <Characters>5895</Characters>
  <Application>Microsoft Office Word</Application>
  <DocSecurity>4</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6916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Johnson, Vinitha (AGDD)</dc:creator>
  <cp:keywords/>
  <dc:description/>
  <cp:lastModifiedBy>Johnson, Vinitha (AGDD)</cp:lastModifiedBy>
  <cp:revision>2</cp:revision>
  <dcterms:created xsi:type="dcterms:W3CDTF">2019-10-22T14:20:00Z</dcterms:created>
  <dcterms:modified xsi:type="dcterms:W3CDTF">2019-10-22T14:20:00Z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0x0101007AB51A52D1780441822D40925A22AA42</vt:lpwstr>
  </property>
</Properties>
</file>